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9A4C0" w14:textId="4C576D0F" w:rsidR="00622520" w:rsidRPr="004F414C" w:rsidRDefault="00774097" w:rsidP="004F414C">
      <w:pPr>
        <w:pStyle w:val="Ttulo"/>
        <w:spacing w:before="120" w:after="120"/>
        <w:ind w:left="0" w:right="0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RÉGIMEN</w:t>
      </w:r>
      <w:r w:rsidRPr="004F414C">
        <w:rPr>
          <w:rFonts w:ascii="Arial" w:hAnsi="Arial" w:cs="Arial"/>
          <w:spacing w:val="-4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REGULATORIO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4F414C">
        <w:rPr>
          <w:rFonts w:ascii="Arial" w:hAnsi="Arial" w:cs="Arial"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BIOCOMBUSTIBLES.</w:t>
      </w:r>
      <w:r w:rsidRPr="004F414C">
        <w:rPr>
          <w:rFonts w:ascii="Arial" w:hAnsi="Arial" w:cs="Arial"/>
          <w:spacing w:val="-4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-</w:t>
      </w:r>
    </w:p>
    <w:p w14:paraId="2D59BE44" w14:textId="77777777" w:rsidR="004F414C" w:rsidRDefault="004F414C" w:rsidP="004F414C">
      <w:pPr>
        <w:pStyle w:val="Textoindependiente"/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1B1D6435" w14:textId="36BA8A55" w:rsidR="00622520" w:rsidRPr="004F414C" w:rsidRDefault="00774097" w:rsidP="004F414C">
      <w:pPr>
        <w:pStyle w:val="Textoindependiente"/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CAPITULO</w:t>
      </w:r>
      <w:r w:rsidRPr="004F414C">
        <w:rPr>
          <w:rFonts w:ascii="Arial" w:hAnsi="Arial" w:cs="Arial"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</w:t>
      </w:r>
    </w:p>
    <w:p w14:paraId="1D6BD2A4" w14:textId="1D99586A" w:rsidR="00622520" w:rsidRPr="004F414C" w:rsidRDefault="00774097" w:rsidP="004F414C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b/>
          <w:sz w:val="24"/>
          <w:szCs w:val="24"/>
        </w:rPr>
        <w:t xml:space="preserve">ARTICULO 1. </w:t>
      </w:r>
      <w:r w:rsidRPr="004F414C">
        <w:rPr>
          <w:rFonts w:ascii="Arial" w:hAnsi="Arial" w:cs="Arial"/>
          <w:sz w:val="24"/>
          <w:szCs w:val="24"/>
        </w:rPr>
        <w:t xml:space="preserve">— </w:t>
      </w:r>
      <w:proofErr w:type="spellStart"/>
      <w:r w:rsidRPr="004F414C">
        <w:rPr>
          <w:rFonts w:ascii="Arial" w:hAnsi="Arial" w:cs="Arial"/>
          <w:sz w:val="24"/>
          <w:szCs w:val="24"/>
        </w:rPr>
        <w:t>Aprúebase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el siguiente régimen regulatorio de Biocombustibles que tendrá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vigencia hasta el </w:t>
      </w:r>
      <w:r w:rsidRPr="004F414C">
        <w:rPr>
          <w:rFonts w:ascii="Arial" w:hAnsi="Arial" w:cs="Arial"/>
          <w:i/>
          <w:sz w:val="24"/>
          <w:szCs w:val="24"/>
        </w:rPr>
        <w:t>31 de diciembre de 2027</w:t>
      </w:r>
      <w:r w:rsidRPr="004F414C">
        <w:rPr>
          <w:rFonts w:ascii="Arial" w:hAnsi="Arial" w:cs="Arial"/>
          <w:sz w:val="24"/>
          <w:szCs w:val="24"/>
        </w:rPr>
        <w:t>. El Poder Ejecutivo Nacional podrá extenderlo por única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vez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 tres (3)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años</w:t>
      </w:r>
      <w:r w:rsidRPr="004F414C">
        <w:rPr>
          <w:rFonts w:ascii="Arial" w:hAnsi="Arial" w:cs="Arial"/>
          <w:spacing w:val="-2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desde la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fecha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vencimiento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4F414C">
        <w:rPr>
          <w:rFonts w:ascii="Arial" w:hAnsi="Arial" w:cs="Arial"/>
          <w:spacing w:val="-2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mismo.</w:t>
      </w:r>
    </w:p>
    <w:p w14:paraId="78490940" w14:textId="77777777" w:rsidR="004F414C" w:rsidRDefault="004F414C" w:rsidP="004F414C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</w:p>
    <w:p w14:paraId="5F25192B" w14:textId="66E4F2F2" w:rsidR="00622520" w:rsidRPr="004F414C" w:rsidRDefault="00774097" w:rsidP="004F414C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4F414C">
        <w:rPr>
          <w:rFonts w:ascii="Arial" w:hAnsi="Arial" w:cs="Arial"/>
          <w:i/>
          <w:sz w:val="24"/>
          <w:szCs w:val="24"/>
        </w:rPr>
        <w:t>Autoridad</w:t>
      </w:r>
      <w:r w:rsidRPr="004F414C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de</w:t>
      </w:r>
      <w:r w:rsidRPr="004F414C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Aplicación</w:t>
      </w:r>
    </w:p>
    <w:p w14:paraId="0D905844" w14:textId="77777777" w:rsidR="00622520" w:rsidRPr="004F414C" w:rsidRDefault="00774097" w:rsidP="004F414C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b/>
          <w:sz w:val="24"/>
          <w:szCs w:val="24"/>
        </w:rPr>
        <w:t xml:space="preserve">ARTICULO 2. </w:t>
      </w:r>
      <w:r w:rsidRPr="004F414C">
        <w:rPr>
          <w:rFonts w:ascii="Arial" w:hAnsi="Arial" w:cs="Arial"/>
          <w:sz w:val="24"/>
          <w:szCs w:val="24"/>
        </w:rPr>
        <w:t>— La autoridad de aplicación de la presente ley será determinada por el Poder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Ejecutivo nacional, conforme a las respectivas competencias dispuestas por la Ley Nº 22.520 de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Ministerios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(texto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ordenado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Decreto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N°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438/92)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modificatorias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normas</w:t>
      </w:r>
      <w:r w:rsidRPr="004F414C">
        <w:rPr>
          <w:rFonts w:ascii="Arial" w:hAnsi="Arial" w:cs="Arial"/>
          <w:spacing w:val="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reglamentarias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4F414C">
        <w:rPr>
          <w:rFonts w:ascii="Arial" w:hAnsi="Arial" w:cs="Arial"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complementarias.</w:t>
      </w:r>
    </w:p>
    <w:p w14:paraId="0A4FE96C" w14:textId="77777777" w:rsidR="004F414C" w:rsidRDefault="004F414C" w:rsidP="004F414C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</w:p>
    <w:p w14:paraId="38305AE2" w14:textId="544C3311" w:rsidR="00622520" w:rsidRPr="004F414C" w:rsidRDefault="00774097" w:rsidP="004F414C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4F414C">
        <w:rPr>
          <w:rFonts w:ascii="Arial" w:hAnsi="Arial" w:cs="Arial"/>
          <w:i/>
          <w:sz w:val="24"/>
          <w:szCs w:val="24"/>
        </w:rPr>
        <w:t>Funciones</w:t>
      </w:r>
      <w:r w:rsidRPr="004F414C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de</w:t>
      </w:r>
      <w:r w:rsidRPr="004F414C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la</w:t>
      </w:r>
      <w:r w:rsidRPr="004F414C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Autoridad</w:t>
      </w:r>
      <w:r w:rsidRPr="004F414C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de</w:t>
      </w:r>
      <w:r w:rsidRPr="004F414C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Aplicación</w:t>
      </w:r>
    </w:p>
    <w:p w14:paraId="5F57A442" w14:textId="664A2C36" w:rsidR="00622520" w:rsidRDefault="00774097" w:rsidP="004F414C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>ARTICULO 3. —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Serán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funciones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aplicación:</w:t>
      </w:r>
    </w:p>
    <w:p w14:paraId="4026BC2A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Promover y controlar la producción y uso sustentables de biocombustibles.</w:t>
      </w:r>
    </w:p>
    <w:p w14:paraId="03CF9CB9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Establecer las normas de calidad a las que deben ajustarse los biocombustibles.</w:t>
      </w:r>
    </w:p>
    <w:p w14:paraId="21C97AB6" w14:textId="54A0FAB4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Establecer los requisitos y condiciones necesarios para las plantas de producción y mezcla de biocombustibles, resolver sobre su calificación y aprobación, y certificar la fecha de su puesta en marcha.</w:t>
      </w:r>
    </w:p>
    <w:p w14:paraId="390C1C67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Realizar auditorías e inspecciones a las plantas habilitadas para la producción de biocombustibles a fin de controlar su correcto funcionamiento y su ajuste a la normativa vigente.</w:t>
      </w:r>
    </w:p>
    <w:p w14:paraId="43EE92D7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Realizar auditorías e inspecciones a los beneficiarios del régimen de promoción establecido en esta ley, a fin de controlar su correcto funcionamiento, su ajuste a la normativa vigente y la permanencia de las condiciones establecidas para mantener los beneficios que se les haya otorgado.</w:t>
      </w:r>
    </w:p>
    <w:p w14:paraId="1386C9B0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También ejercitará las atribuciones que la Ley Nº 17.319 especifica en su Título V, artículos 76 al 78.</w:t>
      </w:r>
    </w:p>
    <w:p w14:paraId="170E0181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Aplicar las sanciones que correspondan de acuerdo a la gravedad de las acciones penadas.</w:t>
      </w:r>
    </w:p>
    <w:p w14:paraId="69C1E895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Solicitar con carácter de declaración jurada, las estimaciones de demanda de biocombustible previstas por las compañías que posean destilerías o refinerías de petróleo, fraccionadores y distribuidores mayoristas o minoristas de combustibles, obligados a utilizar los mismos, según lo previsto en los artículos 11° y 12°.</w:t>
      </w:r>
    </w:p>
    <w:p w14:paraId="7B22A642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Administrar los subsidios que eventualmente otorgue el Honorable Congreso de la Nación.</w:t>
      </w:r>
    </w:p>
    <w:p w14:paraId="76B3CCCC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Determinar y modificar los porcentajes de participación de los biocombustibles en cortes con gasoil o nafta, en los términos de los artículos 11° y 12°.</w:t>
      </w:r>
    </w:p>
    <w:p w14:paraId="157A0F29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En su caso, determinar las cuotas de distribución de la oferta de biocombustibles, según lo previsto en artículo 16 de la presente ley.</w:t>
      </w:r>
    </w:p>
    <w:p w14:paraId="66935CB3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Asumir las funciones de fiscalización que le corresponden en cumplimiento de la presente ley.</w:t>
      </w:r>
    </w:p>
    <w:p w14:paraId="59CC541F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lastRenderedPageBreak/>
        <w:t>Determinar la tasa de fiscalización y control que anualmente pagarán los agentes alcanzados por esta ley, así como su metodología de pago y recaudación.</w:t>
      </w:r>
    </w:p>
    <w:p w14:paraId="1472232F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Llevar actualizado el registro público de las plantas habilitadas para la producción y mezcla de biocombustibles, así como un detalle de aquellas que gocen de los beneficios promocionales; y publicar la información en internet.</w:t>
      </w:r>
    </w:p>
    <w:p w14:paraId="4FD39E6D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Firmar convenios de cooperación con distintos organismos públicos, privados, mixtos y organizaciones no gubernamentales.</w:t>
      </w:r>
    </w:p>
    <w:p w14:paraId="1564B104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Comunicar en tiempo y forma a la Administración Federal de Ingresos Públicos y a otros organismos del Poder Ejecutivo nacional que tengan competencia, las altas y bajas del registro al que se refiere el inciso n) del presente artículo, así como todo otro hecho o acontecimiento que revista la categoría de relevantes para el cumplimiento de las previsiones de esta ley.</w:t>
      </w:r>
    </w:p>
    <w:p w14:paraId="1C4DB703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Publicar periódicamente precios de referencia de los biocombustibles.</w:t>
      </w:r>
    </w:p>
    <w:p w14:paraId="06567636" w14:textId="77777777" w:rsidR="00622520" w:rsidRPr="00C51C2B" w:rsidRDefault="00774097" w:rsidP="00C51C2B">
      <w:pPr>
        <w:pStyle w:val="Textoindependiente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sz w:val="24"/>
          <w:szCs w:val="24"/>
        </w:rPr>
        <w:t>Ejercer toda otra atribución que surja de la reglamentación de la presente ley a los efectos de su mejor cumplimiento.</w:t>
      </w:r>
    </w:p>
    <w:p w14:paraId="3E01ACB1" w14:textId="77777777" w:rsidR="00622520" w:rsidRPr="00C51C2B" w:rsidRDefault="00622520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14AC92E" w14:textId="77777777" w:rsidR="00622520" w:rsidRPr="00B707CF" w:rsidRDefault="00774097" w:rsidP="00B707CF">
      <w:pPr>
        <w:spacing w:before="120" w:after="120"/>
        <w:jc w:val="center"/>
        <w:rPr>
          <w:rFonts w:ascii="Arial" w:hAnsi="Arial" w:cs="Arial"/>
          <w:i/>
          <w:spacing w:val="-3"/>
          <w:sz w:val="24"/>
          <w:szCs w:val="24"/>
        </w:rPr>
      </w:pPr>
      <w:r w:rsidRPr="00B707CF">
        <w:rPr>
          <w:rFonts w:ascii="Arial" w:hAnsi="Arial" w:cs="Arial"/>
          <w:i/>
          <w:spacing w:val="-3"/>
          <w:sz w:val="24"/>
          <w:szCs w:val="24"/>
        </w:rPr>
        <w:t>Definición de Biocombustibles</w:t>
      </w:r>
    </w:p>
    <w:p w14:paraId="756752CC" w14:textId="77777777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>ARTICULO 4. —</w:t>
      </w:r>
      <w:r w:rsidRPr="004F414C">
        <w:rPr>
          <w:rFonts w:ascii="Arial" w:hAnsi="Arial" w:cs="Arial"/>
          <w:sz w:val="24"/>
          <w:szCs w:val="24"/>
        </w:rPr>
        <w:t xml:space="preserve"> A los fines de la presente ley, se entiende por biocombustibles al bioetanol, 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biodiesel que se produzcan a partir de materias primas de origen agropecuario, agroindustrial o</w:t>
      </w:r>
      <w:r w:rsidRPr="00C51C2B">
        <w:rPr>
          <w:rFonts w:ascii="Arial" w:hAnsi="Arial" w:cs="Arial"/>
          <w:sz w:val="24"/>
          <w:szCs w:val="24"/>
        </w:rPr>
        <w:t xml:space="preserve"> desechos orgánicos, que cumplan los requisitos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calidad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establezca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aplicación.</w:t>
      </w:r>
    </w:p>
    <w:p w14:paraId="168FABCF" w14:textId="77777777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Se entiende por Biodiesel, como biocombustible obtenido por mezcla de ésteres metílico o etílico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 ácidos grasos de origen biológico que tenga por destino el uso como combustible y cumpla 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protocolo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calidad 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establezca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Nacional.</w:t>
      </w:r>
    </w:p>
    <w:p w14:paraId="19D1C305" w14:textId="4BCC4746" w:rsidR="00622520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Se entiende por Bioetanol Anhidro, Alcohol etílico biocombustible producido a través de procesos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y/o materias primas de origen biológicas, con un porcentaje volumen en volumen mayor al 96%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derivado de un proceso de reducción del agua que naturalmente quedó contenida en la mezcla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azeotrópica resultante de su destilación, que cumpla con el protocolo de calidad que establezca 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</w:t>
      </w:r>
    </w:p>
    <w:p w14:paraId="76D729C2" w14:textId="77777777" w:rsidR="00C51C2B" w:rsidRPr="004F414C" w:rsidRDefault="00C51C2B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F335396" w14:textId="77777777" w:rsidR="00622520" w:rsidRPr="00B707CF" w:rsidRDefault="00774097" w:rsidP="00B707CF">
      <w:pPr>
        <w:spacing w:before="120" w:after="120"/>
        <w:jc w:val="center"/>
        <w:rPr>
          <w:rFonts w:ascii="Arial" w:hAnsi="Arial" w:cs="Arial"/>
          <w:i/>
          <w:spacing w:val="-3"/>
          <w:sz w:val="24"/>
          <w:szCs w:val="24"/>
        </w:rPr>
      </w:pPr>
      <w:r w:rsidRPr="00B707CF">
        <w:rPr>
          <w:rFonts w:ascii="Arial" w:hAnsi="Arial" w:cs="Arial"/>
          <w:i/>
          <w:spacing w:val="-3"/>
          <w:sz w:val="24"/>
          <w:szCs w:val="24"/>
        </w:rPr>
        <w:t>Habilitación de Plantas Productoras</w:t>
      </w:r>
    </w:p>
    <w:p w14:paraId="02038B35" w14:textId="778E2CC3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>ARTICULO 5. —</w:t>
      </w:r>
      <w:r w:rsidRPr="004F414C">
        <w:rPr>
          <w:rFonts w:ascii="Arial" w:hAnsi="Arial" w:cs="Arial"/>
          <w:sz w:val="24"/>
          <w:szCs w:val="24"/>
        </w:rPr>
        <w:t xml:space="preserve"> Sólo podrán producir biocombustibles en as plantas habilitadas hasta el 31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diciembre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 2020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dichos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efectos 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 de aplicación.</w:t>
      </w:r>
    </w:p>
    <w:p w14:paraId="7FC7BE87" w14:textId="6F75A5CC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C51C2B">
        <w:rPr>
          <w:rFonts w:ascii="Arial" w:hAnsi="Arial" w:cs="Arial"/>
          <w:b/>
          <w:sz w:val="24"/>
          <w:szCs w:val="24"/>
        </w:rPr>
        <w:t>6</w:t>
      </w:r>
      <w:r w:rsidRPr="00C51C2B">
        <w:rPr>
          <w:rFonts w:ascii="Arial" w:hAnsi="Arial" w:cs="Arial"/>
          <w:b/>
          <w:sz w:val="24"/>
          <w:szCs w:val="24"/>
        </w:rPr>
        <w:t>. —</w:t>
      </w:r>
      <w:r w:rsidRPr="004F414C">
        <w:rPr>
          <w:rFonts w:ascii="Arial" w:hAnsi="Arial" w:cs="Arial"/>
          <w:sz w:val="24"/>
          <w:szCs w:val="24"/>
        </w:rPr>
        <w:t xml:space="preserve"> Para el caso de plantas pilotos destinadas a la investigación, la Autoridad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 Nacional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reglamentará sus condiciones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funcionamiento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registro.</w:t>
      </w:r>
    </w:p>
    <w:p w14:paraId="67DD076F" w14:textId="77777777" w:rsidR="00C51C2B" w:rsidRDefault="00C51C2B" w:rsidP="00C51C2B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</w:p>
    <w:p w14:paraId="2CE53B1A" w14:textId="0F666FD5" w:rsidR="00622520" w:rsidRPr="004F414C" w:rsidRDefault="00774097" w:rsidP="00C51C2B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4F414C">
        <w:rPr>
          <w:rFonts w:ascii="Arial" w:hAnsi="Arial" w:cs="Arial"/>
          <w:i/>
          <w:sz w:val="24"/>
          <w:szCs w:val="24"/>
        </w:rPr>
        <w:t>Mezclado</w:t>
      </w:r>
      <w:r w:rsidRPr="004F414C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de</w:t>
      </w:r>
      <w:r w:rsidRPr="004F414C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Biocombustibles</w:t>
      </w:r>
      <w:r w:rsidRPr="004F414C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con</w:t>
      </w:r>
      <w:r w:rsidRPr="004F414C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Combustibles</w:t>
      </w:r>
      <w:r w:rsidRPr="004F414C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Fósiles</w:t>
      </w:r>
    </w:p>
    <w:p w14:paraId="706DEDDB" w14:textId="0FFC8321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C51C2B">
        <w:rPr>
          <w:rFonts w:ascii="Arial" w:hAnsi="Arial" w:cs="Arial"/>
          <w:b/>
          <w:sz w:val="24"/>
          <w:szCs w:val="24"/>
        </w:rPr>
        <w:t>7</w:t>
      </w:r>
      <w:r w:rsidRPr="00C51C2B">
        <w:rPr>
          <w:rFonts w:ascii="Arial" w:hAnsi="Arial" w:cs="Arial"/>
          <w:b/>
          <w:sz w:val="24"/>
          <w:szCs w:val="24"/>
        </w:rPr>
        <w:t>.-</w:t>
      </w:r>
      <w:r w:rsidRPr="00C51C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14C">
        <w:rPr>
          <w:rFonts w:ascii="Arial" w:hAnsi="Arial" w:cs="Arial"/>
          <w:sz w:val="24"/>
          <w:szCs w:val="24"/>
        </w:rPr>
        <w:t>Establécese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que todo combustible líquido caracterizado como gasoil o </w:t>
      </w:r>
      <w:proofErr w:type="spellStart"/>
      <w:r w:rsidRPr="004F414C">
        <w:rPr>
          <w:rFonts w:ascii="Arial" w:hAnsi="Arial" w:cs="Arial"/>
          <w:sz w:val="24"/>
          <w:szCs w:val="24"/>
        </w:rPr>
        <w:t>diesel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14C">
        <w:rPr>
          <w:rFonts w:ascii="Arial" w:hAnsi="Arial" w:cs="Arial"/>
          <w:sz w:val="24"/>
          <w:szCs w:val="24"/>
        </w:rPr>
        <w:t>oil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--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 los términos del artículo 4º de la Ley Nº 23.966, Título III, de Impuesto sobre los Combustibles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Líquidos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Natural,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texto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ordenado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1998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modificaciones,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pueda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prever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legislación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futuro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reemplace—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comercialice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dentro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territorio</w:t>
      </w:r>
      <w:r w:rsidR="004F414C" w:rsidRPr="004F414C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deberá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aquellas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instalaciones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hayan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autorizadas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específico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realizar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especie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biocombustible denominada "biodiesel", en un porcentaje mínimo obligatorio 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CINCO 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CIENTO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(5%)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este último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medido sobre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 cantidad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lastRenderedPageBreak/>
        <w:t>total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 final.</w:t>
      </w:r>
    </w:p>
    <w:p w14:paraId="097EC831" w14:textId="77777777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Las empresas mezcladoras debidamente autorizadas, deberán adquirir en forma obligatoria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 mínimo del CINCO POR CIENTO (5%) en los cupos y a los precios que determine 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empresas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productoras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Pymes,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Cooperativas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Pymes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Asociaciones de éstas. La Autoridad de Aplicación podrá disminuir este porcentaje hasta el TRES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 CIENTO (3%) ante situaciones de incremento en los precios de los respectivos insumos básicos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 distorsionen el precio en el surtidor y la composición proporcional que tiene el Biodiesel en 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mismo,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situaciones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escasez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oferta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sujetos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promocionados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hayan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fehacientemente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comprobadas.</w:t>
      </w:r>
    </w:p>
    <w:p w14:paraId="342E3A32" w14:textId="77777777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igual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forma,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empresas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mezcladoras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podrán comprar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libremente Biodiesel 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superar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 de corte establecido en el presente artículo, en función de las particularidades técnicas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respectivas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plantas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procesos,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optimización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costos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reflejen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precio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 surtidor, del costo de los sustitutos, y del ahorro de divisas, hasta el límite que impongan 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normas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técnicas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vigencia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sobre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calidad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composición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fisicoquímico 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final.</w:t>
      </w:r>
    </w:p>
    <w:p w14:paraId="52DE39B8" w14:textId="19F3C1A3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C51C2B">
        <w:rPr>
          <w:rFonts w:ascii="Arial" w:hAnsi="Arial" w:cs="Arial"/>
          <w:b/>
          <w:sz w:val="24"/>
          <w:szCs w:val="24"/>
        </w:rPr>
        <w:t>8</w:t>
      </w:r>
      <w:r w:rsidRPr="00C51C2B">
        <w:rPr>
          <w:rFonts w:ascii="Arial" w:hAnsi="Arial" w:cs="Arial"/>
          <w:b/>
          <w:sz w:val="24"/>
          <w:szCs w:val="24"/>
        </w:rPr>
        <w:t>.-</w:t>
      </w:r>
      <w:r w:rsidRPr="00C51C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14C">
        <w:rPr>
          <w:rFonts w:ascii="Arial" w:hAnsi="Arial" w:cs="Arial"/>
          <w:sz w:val="24"/>
          <w:szCs w:val="24"/>
        </w:rPr>
        <w:t>Establécese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todo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combustible líquido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caracterizado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nafta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—en 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términos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4º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Nº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23.966,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Titulo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III,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Impuesto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sobre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Combustibles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Líquidos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 el Gas Natural, texto ordenado en 1998 y sus modificaciones, o en el que prevea la legislación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futuro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reemplace—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comercialice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dentro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territorio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deberá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 mezclado por aquellas instalaciones que hayan sido aprobadas por la autoridad de 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específico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realizar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especie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biocombustible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denominada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"bioetanol", en un porcentaje obligatorio del </w:t>
      </w:r>
      <w:r w:rsidR="008F27EF">
        <w:rPr>
          <w:rFonts w:ascii="Arial" w:hAnsi="Arial" w:cs="Arial"/>
          <w:sz w:val="24"/>
          <w:szCs w:val="24"/>
        </w:rPr>
        <w:t>DIEZ</w:t>
      </w:r>
      <w:r w:rsidRPr="004F414C">
        <w:rPr>
          <w:rFonts w:ascii="Arial" w:hAnsi="Arial" w:cs="Arial"/>
          <w:sz w:val="24"/>
          <w:szCs w:val="24"/>
        </w:rPr>
        <w:t xml:space="preserve"> POR CIENTO (</w:t>
      </w:r>
      <w:r w:rsidR="008F27EF">
        <w:rPr>
          <w:rFonts w:ascii="Arial" w:hAnsi="Arial" w:cs="Arial"/>
          <w:sz w:val="24"/>
          <w:szCs w:val="24"/>
        </w:rPr>
        <w:t>10</w:t>
      </w:r>
      <w:r w:rsidRPr="004F414C">
        <w:rPr>
          <w:rFonts w:ascii="Arial" w:hAnsi="Arial" w:cs="Arial"/>
          <w:sz w:val="24"/>
          <w:szCs w:val="24"/>
        </w:rPr>
        <w:t>%) de este último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medido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sobre la cantidad total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 final.</w:t>
      </w:r>
    </w:p>
    <w:p w14:paraId="223433D1" w14:textId="1F450910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Las empresas mezcladoras debidamente autorizadas, deberán adquirir en forma obligatoria 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="00742C07" w:rsidRPr="00C51C2B">
        <w:rPr>
          <w:rFonts w:ascii="Arial" w:hAnsi="Arial" w:cs="Arial"/>
          <w:sz w:val="24"/>
          <w:szCs w:val="24"/>
        </w:rPr>
        <w:t>SEIS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CIENTO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</w:t>
      </w:r>
      <w:r w:rsidR="00742C07" w:rsidRPr="004F414C">
        <w:rPr>
          <w:rFonts w:ascii="Arial" w:hAnsi="Arial" w:cs="Arial"/>
          <w:sz w:val="24"/>
          <w:szCs w:val="24"/>
        </w:rPr>
        <w:t>6</w:t>
      </w:r>
      <w:r w:rsidRPr="004F414C">
        <w:rPr>
          <w:rFonts w:ascii="Arial" w:hAnsi="Arial" w:cs="Arial"/>
          <w:sz w:val="24"/>
          <w:szCs w:val="24"/>
        </w:rPr>
        <w:t>%)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cupos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precios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determine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 Autoridad de Aplicación, a las empresas productoras de Bioetanol a base de Caña de Azúcar;  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DOS Y MEDIO POR CIENTO (2,5%) a las Pymes, Cooperativas de Pymes y Asociaciones de éstas,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productoras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Bioetanol 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base de </w:t>
      </w:r>
      <w:proofErr w:type="spellStart"/>
      <w:r w:rsidRPr="004F414C">
        <w:rPr>
          <w:rFonts w:ascii="Arial" w:hAnsi="Arial" w:cs="Arial"/>
          <w:sz w:val="24"/>
          <w:szCs w:val="24"/>
        </w:rPr>
        <w:t>Maiz</w:t>
      </w:r>
      <w:proofErr w:type="spellEnd"/>
      <w:r w:rsidR="008F27EF">
        <w:rPr>
          <w:rFonts w:ascii="Arial" w:hAnsi="Arial" w:cs="Arial"/>
          <w:sz w:val="24"/>
          <w:szCs w:val="24"/>
        </w:rPr>
        <w:t xml:space="preserve"> y el restante UNO Y MEDIO (1,5%) podrá ser adquirido por las empresas mezcladoras sin restricción de cupo y precio.</w:t>
      </w:r>
    </w:p>
    <w:p w14:paraId="74921C0D" w14:textId="44B229D9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podrá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disminuir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establecidos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párrafo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anterior</w:t>
      </w:r>
      <w:r w:rsidR="008F27EF">
        <w:rPr>
          <w:rFonts w:ascii="Arial" w:hAnsi="Arial" w:cs="Arial"/>
          <w:sz w:val="24"/>
          <w:szCs w:val="24"/>
        </w:rPr>
        <w:t xml:space="preserve"> para </w:t>
      </w:r>
      <w:r w:rsidR="008F27EF" w:rsidRPr="004F414C">
        <w:rPr>
          <w:rFonts w:ascii="Arial" w:hAnsi="Arial" w:cs="Arial"/>
          <w:sz w:val="24"/>
          <w:szCs w:val="24"/>
        </w:rPr>
        <w:t>las Pymes, Cooperativas de Pymes y Asociaciones de éstas,</w:t>
      </w:r>
      <w:r w:rsidR="008F27EF" w:rsidRPr="00C51C2B">
        <w:rPr>
          <w:rFonts w:ascii="Arial" w:hAnsi="Arial" w:cs="Arial"/>
          <w:sz w:val="24"/>
          <w:szCs w:val="24"/>
        </w:rPr>
        <w:t xml:space="preserve"> </w:t>
      </w:r>
      <w:r w:rsidR="008F27EF" w:rsidRPr="004F414C">
        <w:rPr>
          <w:rFonts w:ascii="Arial" w:hAnsi="Arial" w:cs="Arial"/>
          <w:sz w:val="24"/>
          <w:szCs w:val="24"/>
        </w:rPr>
        <w:t>productoras</w:t>
      </w:r>
      <w:r w:rsidR="008F27EF" w:rsidRPr="00C51C2B">
        <w:rPr>
          <w:rFonts w:ascii="Arial" w:hAnsi="Arial" w:cs="Arial"/>
          <w:sz w:val="24"/>
          <w:szCs w:val="24"/>
        </w:rPr>
        <w:t xml:space="preserve"> </w:t>
      </w:r>
      <w:r w:rsidR="008F27EF" w:rsidRPr="004F414C">
        <w:rPr>
          <w:rFonts w:ascii="Arial" w:hAnsi="Arial" w:cs="Arial"/>
          <w:sz w:val="24"/>
          <w:szCs w:val="24"/>
        </w:rPr>
        <w:t>de</w:t>
      </w:r>
      <w:r w:rsidR="008F27EF" w:rsidRPr="00C51C2B">
        <w:rPr>
          <w:rFonts w:ascii="Arial" w:hAnsi="Arial" w:cs="Arial"/>
          <w:sz w:val="24"/>
          <w:szCs w:val="24"/>
        </w:rPr>
        <w:t xml:space="preserve"> </w:t>
      </w:r>
      <w:r w:rsidR="008F27EF" w:rsidRPr="004F414C">
        <w:rPr>
          <w:rFonts w:ascii="Arial" w:hAnsi="Arial" w:cs="Arial"/>
          <w:sz w:val="24"/>
          <w:szCs w:val="24"/>
        </w:rPr>
        <w:t>Bioetanol a</w:t>
      </w:r>
      <w:r w:rsidR="008F27EF" w:rsidRPr="00C51C2B">
        <w:rPr>
          <w:rFonts w:ascii="Arial" w:hAnsi="Arial" w:cs="Arial"/>
          <w:sz w:val="24"/>
          <w:szCs w:val="24"/>
        </w:rPr>
        <w:t xml:space="preserve"> </w:t>
      </w:r>
      <w:r w:rsidR="008F27EF" w:rsidRPr="004F414C">
        <w:rPr>
          <w:rFonts w:ascii="Arial" w:hAnsi="Arial" w:cs="Arial"/>
          <w:sz w:val="24"/>
          <w:szCs w:val="24"/>
        </w:rPr>
        <w:t xml:space="preserve">base de </w:t>
      </w:r>
      <w:proofErr w:type="spellStart"/>
      <w:r w:rsidR="008F27EF" w:rsidRPr="004F414C">
        <w:rPr>
          <w:rFonts w:ascii="Arial" w:hAnsi="Arial" w:cs="Arial"/>
          <w:sz w:val="24"/>
          <w:szCs w:val="24"/>
        </w:rPr>
        <w:t>Maiz</w:t>
      </w:r>
      <w:proofErr w:type="spellEnd"/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hasta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el </w:t>
      </w:r>
      <w:r w:rsidR="007A082C" w:rsidRPr="004F414C">
        <w:rPr>
          <w:rFonts w:ascii="Arial" w:hAnsi="Arial" w:cs="Arial"/>
          <w:sz w:val="24"/>
          <w:szCs w:val="24"/>
        </w:rPr>
        <w:t>uno coma cinco</w:t>
      </w:r>
      <w:r w:rsidR="008F27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 ciento (</w:t>
      </w:r>
      <w:r w:rsidR="007A082C" w:rsidRPr="004F414C">
        <w:rPr>
          <w:rFonts w:ascii="Arial" w:hAnsi="Arial" w:cs="Arial"/>
          <w:sz w:val="24"/>
          <w:szCs w:val="24"/>
        </w:rPr>
        <w:t>1,5</w:t>
      </w:r>
      <w:r w:rsidRPr="004F414C">
        <w:rPr>
          <w:rFonts w:ascii="Arial" w:hAnsi="Arial" w:cs="Arial"/>
          <w:sz w:val="24"/>
          <w:szCs w:val="24"/>
        </w:rPr>
        <w:t>%) ante situaciones de incremento en los precios de los respectivos insumos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básicos, que distorsionen el precio en el surtidor y la composición proporcional que tienen ambos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tipos de Bioetanol en el mismo, o ante situaciones de escasez de oferta por parte de los sujetos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promocionados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 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hayan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sido fehacientemente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comprobadas.</w:t>
      </w:r>
    </w:p>
    <w:p w14:paraId="71ABF34E" w14:textId="77777777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De igual forma, las empresas mezcladoras podrán comprar libremente Bioetanol y superar 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 de corte establecido en el presente artículo, en función de las particularidades técnicas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respectivas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plantas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procesos,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optimización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costos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reflejen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precio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final,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costo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sustitutos,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ahorro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divisas,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hasta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límite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impongan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normas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técnicas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vigencia sobre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calidad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composición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fisicoquímico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final.</w:t>
      </w:r>
    </w:p>
    <w:p w14:paraId="06E69AC9" w14:textId="6DA4ABCB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 xml:space="preserve">ARTICULO </w:t>
      </w:r>
      <w:r w:rsidR="005B4C4F" w:rsidRPr="00C51C2B">
        <w:rPr>
          <w:rFonts w:ascii="Arial" w:hAnsi="Arial" w:cs="Arial"/>
          <w:b/>
          <w:sz w:val="24"/>
          <w:szCs w:val="24"/>
        </w:rPr>
        <w:t>9</w:t>
      </w:r>
      <w:r w:rsidRPr="00C51C2B">
        <w:rPr>
          <w:rFonts w:ascii="Arial" w:hAnsi="Arial" w:cs="Arial"/>
          <w:b/>
          <w:sz w:val="24"/>
          <w:szCs w:val="24"/>
        </w:rPr>
        <w:t>. —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establecerá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requisitos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condiciones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autoconsumo, </w:t>
      </w:r>
      <w:r w:rsidRPr="004F414C">
        <w:rPr>
          <w:rFonts w:ascii="Arial" w:hAnsi="Arial" w:cs="Arial"/>
          <w:sz w:val="24"/>
          <w:szCs w:val="24"/>
        </w:rPr>
        <w:t>distribución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comercialización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biodiesel,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bioetanol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puro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(B100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E100),</w:t>
      </w:r>
      <w:r w:rsidRPr="00C51C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27EF">
        <w:rPr>
          <w:rFonts w:ascii="Arial" w:hAnsi="Arial" w:cs="Arial"/>
          <w:sz w:val="24"/>
          <w:szCs w:val="24"/>
        </w:rPr>
        <w:t>Biogas</w:t>
      </w:r>
      <w:proofErr w:type="spellEnd"/>
      <w:r w:rsidR="008F27EF">
        <w:rPr>
          <w:rFonts w:ascii="Arial" w:hAnsi="Arial" w:cs="Arial"/>
          <w:sz w:val="24"/>
          <w:szCs w:val="24"/>
        </w:rPr>
        <w:t xml:space="preserve">, </w:t>
      </w:r>
      <w:r w:rsidRPr="004F414C">
        <w:rPr>
          <w:rFonts w:ascii="Arial" w:hAnsi="Arial" w:cs="Arial"/>
          <w:sz w:val="24"/>
          <w:szCs w:val="24"/>
        </w:rPr>
        <w:t>mezclados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distintos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combustibles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fósiles,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autorizados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así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diferentes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mezclas.</w:t>
      </w:r>
    </w:p>
    <w:p w14:paraId="7707C343" w14:textId="77777777" w:rsidR="00C51C2B" w:rsidRDefault="00C51C2B" w:rsidP="00C51C2B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</w:p>
    <w:p w14:paraId="1A078B8E" w14:textId="3769F5CE" w:rsidR="00622520" w:rsidRPr="004F414C" w:rsidRDefault="00774097" w:rsidP="00C51C2B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4F414C">
        <w:rPr>
          <w:rFonts w:ascii="Arial" w:hAnsi="Arial" w:cs="Arial"/>
          <w:i/>
          <w:sz w:val="24"/>
          <w:szCs w:val="24"/>
        </w:rPr>
        <w:t>Definición</w:t>
      </w:r>
      <w:r w:rsidRPr="00B707CF">
        <w:rPr>
          <w:rFonts w:ascii="Arial" w:hAnsi="Arial" w:cs="Arial"/>
          <w:i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de</w:t>
      </w:r>
      <w:r w:rsidRPr="00B707CF">
        <w:rPr>
          <w:rFonts w:ascii="Arial" w:hAnsi="Arial" w:cs="Arial"/>
          <w:i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Pymes</w:t>
      </w:r>
    </w:p>
    <w:p w14:paraId="3B46B61D" w14:textId="252871BA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lastRenderedPageBreak/>
        <w:t>ARTÍCULO 1</w:t>
      </w:r>
      <w:r w:rsidR="005B4C4F" w:rsidRPr="00C51C2B">
        <w:rPr>
          <w:rFonts w:ascii="Arial" w:hAnsi="Arial" w:cs="Arial"/>
          <w:b/>
          <w:sz w:val="24"/>
          <w:szCs w:val="24"/>
        </w:rPr>
        <w:t>0</w:t>
      </w:r>
      <w:r w:rsidRPr="00C51C2B">
        <w:rPr>
          <w:rFonts w:ascii="Arial" w:hAnsi="Arial" w:cs="Arial"/>
          <w:b/>
          <w:sz w:val="24"/>
          <w:szCs w:val="24"/>
        </w:rPr>
        <w:t>.-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 autoridad de aplicación garantizará que aquellas instalaciones que hayan sido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aprobadas para el fin específico de realizar las mezclas deberán adquirir los productos definidos 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 artículo 4° de esta ley a los sujetos que tengan autorizadas sus plantas para la elaboración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específica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tales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produzcan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Bioetanol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base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Caña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Azúcar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cumplan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simultáneamente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condición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Pymes,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Cooperativa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Pymes,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Asociación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mismas,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 cupos 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 precios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establezca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 mencionada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autoridad.</w:t>
      </w:r>
    </w:p>
    <w:p w14:paraId="0748CD69" w14:textId="77777777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Serán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consideradas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Pymes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presente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ley,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aquellos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sujetos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productores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cumplan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simultáneamente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 siguientes condiciones:</w:t>
      </w:r>
    </w:p>
    <w:p w14:paraId="182165AD" w14:textId="77777777" w:rsidR="00622520" w:rsidRPr="004F414C" w:rsidRDefault="00774097" w:rsidP="00C51C2B">
      <w:pPr>
        <w:pStyle w:val="Textoindependiente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 xml:space="preserve">Tengan una producción anual que no exceda las (CINCUENTA MIL toneladas (50.000 </w:t>
      </w:r>
      <w:proofErr w:type="spellStart"/>
      <w:r w:rsidRPr="004F414C">
        <w:rPr>
          <w:rFonts w:ascii="Arial" w:hAnsi="Arial" w:cs="Arial"/>
          <w:sz w:val="24"/>
          <w:szCs w:val="24"/>
        </w:rPr>
        <w:t>tn</w:t>
      </w:r>
      <w:proofErr w:type="spellEnd"/>
      <w:r w:rsidRPr="004F414C">
        <w:rPr>
          <w:rFonts w:ascii="Arial" w:hAnsi="Arial" w:cs="Arial"/>
          <w:sz w:val="24"/>
          <w:szCs w:val="24"/>
        </w:rPr>
        <w:t>)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Biodiesel o 90.000 m3 (NOVENTA MIL metros cúbicos) de bioetanol de Maíz, según 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producto,</w:t>
      </w:r>
    </w:p>
    <w:p w14:paraId="2BC9CAE0" w14:textId="77777777" w:rsidR="00622520" w:rsidRPr="004F414C" w:rsidRDefault="00774097" w:rsidP="00C51C2B">
      <w:pPr>
        <w:pStyle w:val="Textoindependiente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Cumplan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requisitos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parámetros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previstos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reglamentación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efecto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dicte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Secretaria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 Pequeña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 Mediana Empresa 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 Emprendedores.</w:t>
      </w:r>
    </w:p>
    <w:p w14:paraId="6B5DC297" w14:textId="77777777" w:rsidR="00622520" w:rsidRPr="004F414C" w:rsidRDefault="00774097" w:rsidP="00C51C2B">
      <w:pPr>
        <w:pStyle w:val="Textoindependiente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No sean asociadas, subsidiarias, ni controladas por, o controlantes de, empresas cuya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actividad principal sea la misma, o pertenezcan a un mismo grupo económico controlante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empresas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actividad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principal,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mayoría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integrantes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directorio sea simultáneamente integrante del directorio de otra u otras empresas que se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dediquen a la misma actividad, o que sus accionistas mayoritarios también lo sean, o sean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controladas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 capitales extranjeros.</w:t>
      </w:r>
    </w:p>
    <w:p w14:paraId="0BB0A543" w14:textId="77777777" w:rsidR="004F414C" w:rsidRPr="004F414C" w:rsidRDefault="00A944A4" w:rsidP="00C51C2B">
      <w:pPr>
        <w:pStyle w:val="Textoindependiente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No resulten integradas a una empresa productora de combustibles.</w:t>
      </w:r>
    </w:p>
    <w:p w14:paraId="713B6F33" w14:textId="7A1008FC" w:rsidR="00622520" w:rsidRPr="004F414C" w:rsidRDefault="00A944A4" w:rsidP="00C51C2B">
      <w:pPr>
        <w:pStyle w:val="Textoindependiente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N</w:t>
      </w:r>
      <w:r w:rsidR="00774097" w:rsidRPr="004F414C">
        <w:rPr>
          <w:rFonts w:ascii="Arial" w:hAnsi="Arial" w:cs="Arial"/>
          <w:sz w:val="24"/>
          <w:szCs w:val="24"/>
        </w:rPr>
        <w:t>o</w:t>
      </w:r>
      <w:r w:rsidR="00774097" w:rsidRPr="00C51C2B">
        <w:rPr>
          <w:rFonts w:ascii="Arial" w:hAnsi="Arial" w:cs="Arial"/>
          <w:sz w:val="24"/>
          <w:szCs w:val="24"/>
        </w:rPr>
        <w:t xml:space="preserve"> </w:t>
      </w:r>
      <w:r w:rsidRPr="00C51C2B">
        <w:rPr>
          <w:rFonts w:ascii="Arial" w:hAnsi="Arial" w:cs="Arial"/>
          <w:sz w:val="24"/>
          <w:szCs w:val="24"/>
        </w:rPr>
        <w:t>sean</w:t>
      </w:r>
      <w:r w:rsidR="00774097" w:rsidRPr="00C51C2B">
        <w:rPr>
          <w:rFonts w:ascii="Arial" w:hAnsi="Arial" w:cs="Arial"/>
          <w:sz w:val="24"/>
          <w:szCs w:val="24"/>
        </w:rPr>
        <w:t xml:space="preserve"> </w:t>
      </w:r>
      <w:r w:rsidR="00774097" w:rsidRPr="004F414C">
        <w:rPr>
          <w:rFonts w:ascii="Arial" w:hAnsi="Arial" w:cs="Arial"/>
          <w:sz w:val="24"/>
          <w:szCs w:val="24"/>
        </w:rPr>
        <w:t>controladas</w:t>
      </w:r>
      <w:r w:rsidR="00774097" w:rsidRPr="00C51C2B">
        <w:rPr>
          <w:rFonts w:ascii="Arial" w:hAnsi="Arial" w:cs="Arial"/>
          <w:sz w:val="24"/>
          <w:szCs w:val="24"/>
        </w:rPr>
        <w:t xml:space="preserve"> </w:t>
      </w:r>
      <w:r w:rsidR="00774097" w:rsidRPr="004F414C">
        <w:rPr>
          <w:rFonts w:ascii="Arial" w:hAnsi="Arial" w:cs="Arial"/>
          <w:sz w:val="24"/>
          <w:szCs w:val="24"/>
        </w:rPr>
        <w:t>por</w:t>
      </w:r>
      <w:r w:rsidR="00774097" w:rsidRPr="00C51C2B">
        <w:rPr>
          <w:rFonts w:ascii="Arial" w:hAnsi="Arial" w:cs="Arial"/>
          <w:sz w:val="24"/>
          <w:szCs w:val="24"/>
        </w:rPr>
        <w:t xml:space="preserve"> </w:t>
      </w:r>
      <w:r w:rsidR="00774097" w:rsidRPr="004F414C">
        <w:rPr>
          <w:rFonts w:ascii="Arial" w:hAnsi="Arial" w:cs="Arial"/>
          <w:sz w:val="24"/>
          <w:szCs w:val="24"/>
        </w:rPr>
        <w:t>capitales</w:t>
      </w:r>
      <w:r w:rsidR="00774097" w:rsidRPr="00C51C2B">
        <w:rPr>
          <w:rFonts w:ascii="Arial" w:hAnsi="Arial" w:cs="Arial"/>
          <w:sz w:val="24"/>
          <w:szCs w:val="24"/>
        </w:rPr>
        <w:t xml:space="preserve"> </w:t>
      </w:r>
      <w:r w:rsidR="00774097" w:rsidRPr="004F414C">
        <w:rPr>
          <w:rFonts w:ascii="Arial" w:hAnsi="Arial" w:cs="Arial"/>
          <w:sz w:val="24"/>
          <w:szCs w:val="24"/>
        </w:rPr>
        <w:t>extranjeros</w:t>
      </w:r>
      <w:r w:rsidRPr="004F414C">
        <w:rPr>
          <w:rFonts w:ascii="Arial" w:hAnsi="Arial" w:cs="Arial"/>
          <w:sz w:val="24"/>
          <w:szCs w:val="24"/>
        </w:rPr>
        <w:t xml:space="preserve"> en forma directa ni indirecta</w:t>
      </w:r>
      <w:r w:rsidR="008F27EF">
        <w:rPr>
          <w:rFonts w:ascii="Arial" w:hAnsi="Arial" w:cs="Arial"/>
          <w:sz w:val="24"/>
          <w:szCs w:val="24"/>
        </w:rPr>
        <w:t xml:space="preserve"> en las empresas de Bioetanol a base de maíz y en las empresas de biodiesel.</w:t>
      </w:r>
    </w:p>
    <w:p w14:paraId="1025E41A" w14:textId="77777777" w:rsidR="00622520" w:rsidRPr="004F414C" w:rsidRDefault="00622520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8AC7491" w14:textId="77777777" w:rsidR="00622520" w:rsidRPr="004F414C" w:rsidRDefault="00774097" w:rsidP="00C51C2B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4F414C">
        <w:rPr>
          <w:rFonts w:ascii="Arial" w:hAnsi="Arial" w:cs="Arial"/>
          <w:i/>
          <w:sz w:val="24"/>
          <w:szCs w:val="24"/>
        </w:rPr>
        <w:t>Determinación</w:t>
      </w:r>
      <w:r w:rsidRPr="004F414C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C51C2B">
        <w:rPr>
          <w:rFonts w:ascii="Arial" w:hAnsi="Arial" w:cs="Arial"/>
          <w:i/>
          <w:spacing w:val="-3"/>
          <w:sz w:val="24"/>
          <w:szCs w:val="24"/>
        </w:rPr>
        <w:t>del</w:t>
      </w:r>
      <w:r w:rsidRPr="004F414C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Precio</w:t>
      </w:r>
    </w:p>
    <w:p w14:paraId="2B009E37" w14:textId="77777777" w:rsidR="00622520" w:rsidRPr="004F414C" w:rsidRDefault="00622520" w:rsidP="004F414C">
      <w:pPr>
        <w:pStyle w:val="Textoindependiente"/>
        <w:spacing w:before="8"/>
        <w:jc w:val="both"/>
        <w:rPr>
          <w:rFonts w:ascii="Arial" w:hAnsi="Arial" w:cs="Arial"/>
          <w:i/>
          <w:sz w:val="24"/>
          <w:szCs w:val="24"/>
        </w:rPr>
      </w:pPr>
    </w:p>
    <w:p w14:paraId="2D8FB0E5" w14:textId="18191B9A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>ARTÍCULO 1</w:t>
      </w:r>
      <w:r w:rsidR="005B4C4F" w:rsidRPr="00C51C2B">
        <w:rPr>
          <w:rFonts w:ascii="Arial" w:hAnsi="Arial" w:cs="Arial"/>
          <w:b/>
          <w:sz w:val="24"/>
          <w:szCs w:val="24"/>
        </w:rPr>
        <w:t>1</w:t>
      </w:r>
      <w:r w:rsidRPr="00C51C2B">
        <w:rPr>
          <w:rFonts w:ascii="Arial" w:hAnsi="Arial" w:cs="Arial"/>
          <w:b/>
          <w:sz w:val="24"/>
          <w:szCs w:val="24"/>
        </w:rPr>
        <w:t>.-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 adquisiciones obligatorias de biocombustibles de conformidad con lo dispuesto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en los artículos </w:t>
      </w:r>
      <w:r w:rsidR="008F27EF">
        <w:rPr>
          <w:rFonts w:ascii="Arial" w:hAnsi="Arial" w:cs="Arial"/>
          <w:sz w:val="24"/>
          <w:szCs w:val="24"/>
        </w:rPr>
        <w:t>7</w:t>
      </w:r>
      <w:r w:rsidRPr="004F414C">
        <w:rPr>
          <w:rFonts w:ascii="Arial" w:hAnsi="Arial" w:cs="Arial"/>
          <w:sz w:val="24"/>
          <w:szCs w:val="24"/>
        </w:rPr>
        <w:t xml:space="preserve">° y </w:t>
      </w:r>
      <w:r w:rsidR="008F27EF">
        <w:rPr>
          <w:rFonts w:ascii="Arial" w:hAnsi="Arial" w:cs="Arial"/>
          <w:sz w:val="24"/>
          <w:szCs w:val="24"/>
        </w:rPr>
        <w:t>8</w:t>
      </w:r>
      <w:r w:rsidRPr="004F414C">
        <w:rPr>
          <w:rFonts w:ascii="Arial" w:hAnsi="Arial" w:cs="Arial"/>
          <w:sz w:val="24"/>
          <w:szCs w:val="24"/>
        </w:rPr>
        <w:t>° de la presente ley, a las empresas Pymes, Cooperativas de Pymes 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Asociaciones de las mismas, y a las empresas productoras de Bioetanol a base de Caña de Azúcar,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 realizarán al precio que surja de la aplicación de las fórmulas que determine la autoridad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aplicación, las que deberán tener en cuenta -entre otros aspectos- el tamaño de las plantas y 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insumos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origen.</w:t>
      </w:r>
    </w:p>
    <w:p w14:paraId="0DED8DC8" w14:textId="55DD1F17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resultado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fórmulas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indicadas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tendrá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tope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incidencia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componente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biocombustible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tenga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dentro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precio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litro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combustible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corte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obligatorio.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Una vez alcanzado ese tope, se compensarán los mayores aumentos de los insumos reduciendo 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porcentaje de corte hasta alcanzar un piso del TRES POR CIENTO (3%) </w:t>
      </w:r>
      <w:r w:rsidR="008F27EF">
        <w:rPr>
          <w:rFonts w:ascii="Arial" w:hAnsi="Arial" w:cs="Arial"/>
          <w:sz w:val="24"/>
          <w:szCs w:val="24"/>
        </w:rPr>
        <w:t xml:space="preserve">y del UNO POR CIENTO (1,5%) </w:t>
      </w:r>
      <w:r w:rsidRPr="004F414C">
        <w:rPr>
          <w:rFonts w:ascii="Arial" w:hAnsi="Arial" w:cs="Arial"/>
          <w:sz w:val="24"/>
          <w:szCs w:val="24"/>
        </w:rPr>
        <w:t>de acuerdo con la facultad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establecida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 artículos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="008F27EF">
        <w:rPr>
          <w:rFonts w:ascii="Arial" w:hAnsi="Arial" w:cs="Arial"/>
          <w:sz w:val="24"/>
          <w:szCs w:val="24"/>
        </w:rPr>
        <w:t>7</w:t>
      </w:r>
      <w:r w:rsidRPr="004F414C">
        <w:rPr>
          <w:rFonts w:ascii="Arial" w:hAnsi="Arial" w:cs="Arial"/>
          <w:sz w:val="24"/>
          <w:szCs w:val="24"/>
        </w:rPr>
        <w:t>°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="008F27EF">
        <w:rPr>
          <w:rFonts w:ascii="Arial" w:hAnsi="Arial" w:cs="Arial"/>
          <w:sz w:val="24"/>
          <w:szCs w:val="24"/>
        </w:rPr>
        <w:t>8</w:t>
      </w:r>
      <w:r w:rsidRPr="004F414C">
        <w:rPr>
          <w:rFonts w:ascii="Arial" w:hAnsi="Arial" w:cs="Arial"/>
          <w:sz w:val="24"/>
          <w:szCs w:val="24"/>
        </w:rPr>
        <w:t>° de la presente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ley.</w:t>
      </w:r>
    </w:p>
    <w:p w14:paraId="41B4E4A3" w14:textId="2BB3E400" w:rsidR="00622520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Tal piso se irá incrementando a partir del momento en que la suba del componente fósil o la baja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 biocombustible permita ir elevando el corte sin exceder el límite porcentual de incidencia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determinado.</w:t>
      </w:r>
    </w:p>
    <w:p w14:paraId="2F3EA73F" w14:textId="77777777" w:rsidR="00C51C2B" w:rsidRPr="004F414C" w:rsidRDefault="00C51C2B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3B41ECD" w14:textId="77777777" w:rsidR="00622520" w:rsidRPr="004F414C" w:rsidRDefault="00774097" w:rsidP="00C51C2B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C51C2B">
        <w:rPr>
          <w:rFonts w:ascii="Arial" w:hAnsi="Arial" w:cs="Arial"/>
          <w:i/>
          <w:spacing w:val="-3"/>
          <w:sz w:val="24"/>
          <w:szCs w:val="24"/>
        </w:rPr>
        <w:t>Determinación</w:t>
      </w:r>
      <w:r w:rsidRPr="004F414C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del</w:t>
      </w:r>
      <w:r w:rsidRPr="004F414C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Cupo</w:t>
      </w:r>
    </w:p>
    <w:p w14:paraId="0569CF67" w14:textId="5FD22759" w:rsidR="00622520" w:rsidRPr="004F414C" w:rsidRDefault="00774097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51C2B">
        <w:rPr>
          <w:rFonts w:ascii="Arial" w:hAnsi="Arial" w:cs="Arial"/>
          <w:b/>
          <w:sz w:val="24"/>
          <w:szCs w:val="24"/>
        </w:rPr>
        <w:t>ARTÍCULO 1</w:t>
      </w:r>
      <w:r w:rsidR="005B4C4F" w:rsidRPr="00C51C2B">
        <w:rPr>
          <w:rFonts w:ascii="Arial" w:hAnsi="Arial" w:cs="Arial"/>
          <w:b/>
          <w:sz w:val="24"/>
          <w:szCs w:val="24"/>
        </w:rPr>
        <w:t>2</w:t>
      </w:r>
      <w:r w:rsidRPr="00C51C2B">
        <w:rPr>
          <w:rFonts w:ascii="Arial" w:hAnsi="Arial" w:cs="Arial"/>
          <w:b/>
          <w:sz w:val="24"/>
          <w:szCs w:val="24"/>
        </w:rPr>
        <w:t>.-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 cupos de las adquisiciones obligatorias de biocombustibles de conformidad 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lo dispuesto en los artículos </w:t>
      </w:r>
      <w:r w:rsidR="008F27EF">
        <w:rPr>
          <w:rFonts w:ascii="Arial" w:hAnsi="Arial" w:cs="Arial"/>
          <w:sz w:val="24"/>
          <w:szCs w:val="24"/>
        </w:rPr>
        <w:t>7</w:t>
      </w:r>
      <w:r w:rsidRPr="004F414C">
        <w:rPr>
          <w:rFonts w:ascii="Arial" w:hAnsi="Arial" w:cs="Arial"/>
          <w:sz w:val="24"/>
          <w:szCs w:val="24"/>
        </w:rPr>
        <w:t xml:space="preserve">° y </w:t>
      </w:r>
      <w:r w:rsidR="008F27EF">
        <w:rPr>
          <w:rFonts w:ascii="Arial" w:hAnsi="Arial" w:cs="Arial"/>
          <w:sz w:val="24"/>
          <w:szCs w:val="24"/>
        </w:rPr>
        <w:t>8</w:t>
      </w:r>
      <w:r w:rsidRPr="004F414C">
        <w:rPr>
          <w:rFonts w:ascii="Arial" w:hAnsi="Arial" w:cs="Arial"/>
          <w:sz w:val="24"/>
          <w:szCs w:val="24"/>
        </w:rPr>
        <w:t>° de la presente ley a las empresas Pymes, Cooperativas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Pymes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Asociaciones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mismas,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empresas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lastRenderedPageBreak/>
        <w:t>productoras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Bioetanol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base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Caña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Azúcar,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serán asignados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 autoridad de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siguiente</w:t>
      </w:r>
      <w:r w:rsidRPr="00C51C2B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criterio:</w:t>
      </w:r>
    </w:p>
    <w:p w14:paraId="47465D03" w14:textId="77777777" w:rsidR="00622520" w:rsidRPr="004F414C" w:rsidRDefault="00622520" w:rsidP="00C51C2B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716B1793" w14:textId="77777777" w:rsidR="00622520" w:rsidRPr="004F414C" w:rsidRDefault="00774097" w:rsidP="00394395">
      <w:pPr>
        <w:pStyle w:val="Textoindependiente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CINCUENTA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CIENTO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(50%)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manera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directa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cantidad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productores.</w:t>
      </w:r>
    </w:p>
    <w:p w14:paraId="6EB89455" w14:textId="77777777" w:rsidR="00622520" w:rsidRPr="004F414C" w:rsidRDefault="00774097" w:rsidP="00394395">
      <w:pPr>
        <w:pStyle w:val="Textoindependiente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CINCUENTA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CIENTO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(50%)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restante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será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distribuido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siguiendo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siguientes criterios:</w:t>
      </w:r>
    </w:p>
    <w:p w14:paraId="65267A45" w14:textId="77777777" w:rsidR="00622520" w:rsidRPr="004F414C" w:rsidRDefault="00774097" w:rsidP="00394395">
      <w:pPr>
        <w:pStyle w:val="Textoindependiente"/>
        <w:numPr>
          <w:ilvl w:val="1"/>
          <w:numId w:val="1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promedio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últimos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24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meses</w:t>
      </w:r>
    </w:p>
    <w:p w14:paraId="3E14E3AB" w14:textId="77777777" w:rsidR="00622520" w:rsidRPr="004F414C" w:rsidRDefault="00774097" w:rsidP="00394395">
      <w:pPr>
        <w:pStyle w:val="Textoindependiente"/>
        <w:numPr>
          <w:ilvl w:val="1"/>
          <w:numId w:val="1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sz w:val="24"/>
          <w:szCs w:val="24"/>
        </w:rPr>
        <w:t xml:space="preserve">de nuevas inversiones </w:t>
      </w:r>
      <w:r w:rsidRPr="004F414C">
        <w:rPr>
          <w:rFonts w:ascii="Arial" w:hAnsi="Arial" w:cs="Arial"/>
          <w:sz w:val="24"/>
          <w:szCs w:val="24"/>
        </w:rPr>
        <w:t>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subproductos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derivados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biocombustibles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dentro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 regiones; que generen agregado de valor comprobable a la balanza comercial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argentina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registrarán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bajo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declaración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jurada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ante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aplicación.</w:t>
      </w:r>
    </w:p>
    <w:p w14:paraId="33DFCD65" w14:textId="2AE7F9AF" w:rsidR="00622520" w:rsidRPr="004F414C" w:rsidRDefault="00774097" w:rsidP="00394395">
      <w:pPr>
        <w:pStyle w:val="Textoindependiente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En caso de que exista una producción inferior al límite, los cupos restantes se asignarán 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prorrata,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idénticos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criterios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definidos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a)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b),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ningún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caso,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determine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superar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límites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establecidos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inciso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a)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</w:t>
      </w:r>
      <w:r w:rsidR="008F27EF">
        <w:rPr>
          <w:rFonts w:ascii="Arial" w:hAnsi="Arial" w:cs="Arial"/>
          <w:sz w:val="24"/>
          <w:szCs w:val="24"/>
        </w:rPr>
        <w:t>0</w:t>
      </w:r>
      <w:r w:rsidRPr="004F414C">
        <w:rPr>
          <w:rFonts w:ascii="Arial" w:hAnsi="Arial" w:cs="Arial"/>
          <w:sz w:val="24"/>
          <w:szCs w:val="24"/>
        </w:rPr>
        <w:t>° 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ley.</w:t>
      </w:r>
    </w:p>
    <w:p w14:paraId="2BD77229" w14:textId="77777777" w:rsidR="00622520" w:rsidRPr="004F414C" w:rsidRDefault="00622520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34359E7" w14:textId="77777777" w:rsidR="00622520" w:rsidRPr="00394395" w:rsidRDefault="00774097" w:rsidP="00394395">
      <w:pPr>
        <w:pStyle w:val="Textoindependiente"/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394395">
        <w:rPr>
          <w:rFonts w:ascii="Arial" w:hAnsi="Arial" w:cs="Arial"/>
          <w:i/>
          <w:sz w:val="24"/>
          <w:szCs w:val="24"/>
        </w:rPr>
        <w:t>Calidad del Biocombustible</w:t>
      </w:r>
    </w:p>
    <w:p w14:paraId="2FE2AE23" w14:textId="538C409F" w:rsidR="00622520" w:rsidRPr="004F414C" w:rsidRDefault="00774097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b/>
          <w:sz w:val="24"/>
          <w:szCs w:val="24"/>
        </w:rPr>
        <w:t>ARTÍCULO 1</w:t>
      </w:r>
      <w:r w:rsidR="005B4C4F" w:rsidRPr="00394395">
        <w:rPr>
          <w:rFonts w:ascii="Arial" w:hAnsi="Arial" w:cs="Arial"/>
          <w:b/>
          <w:sz w:val="24"/>
          <w:szCs w:val="24"/>
        </w:rPr>
        <w:t>3</w:t>
      </w:r>
      <w:r w:rsidRPr="00394395">
        <w:rPr>
          <w:rFonts w:ascii="Arial" w:hAnsi="Arial" w:cs="Arial"/>
          <w:b/>
          <w:sz w:val="24"/>
          <w:szCs w:val="24"/>
        </w:rPr>
        <w:t>.-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Biodiesel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produzca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y/o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comercialice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dentro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territorio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mezclado con todo combustible líquido caracterizado como gasoil o </w:t>
      </w:r>
      <w:proofErr w:type="spellStart"/>
      <w:r w:rsidRPr="004F414C">
        <w:rPr>
          <w:rFonts w:ascii="Arial" w:hAnsi="Arial" w:cs="Arial"/>
          <w:sz w:val="24"/>
          <w:szCs w:val="24"/>
        </w:rPr>
        <w:t>diesel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14C">
        <w:rPr>
          <w:rFonts w:ascii="Arial" w:hAnsi="Arial" w:cs="Arial"/>
          <w:sz w:val="24"/>
          <w:szCs w:val="24"/>
        </w:rPr>
        <w:t>oil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-en los términos del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 4° de la Ley N° 23.996 Título III, de Impuesto sobre los Combustibles Líquidos y el Gas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Natural, texto ordenado en 1998 y sus modificaciones, o en el que pueda prever la legislación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futuro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reemplace-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deberá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cumplir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especificaciones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mínimas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calidad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detalladas por la autoridad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aplicación.</w:t>
      </w:r>
    </w:p>
    <w:p w14:paraId="620C596B" w14:textId="4697E50F" w:rsidR="00622520" w:rsidRPr="004F414C" w:rsidRDefault="00774097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b/>
          <w:sz w:val="24"/>
          <w:szCs w:val="24"/>
        </w:rPr>
        <w:t>ARTÍCULO 1</w:t>
      </w:r>
      <w:r w:rsidR="005B4C4F" w:rsidRPr="00394395">
        <w:rPr>
          <w:rFonts w:ascii="Arial" w:hAnsi="Arial" w:cs="Arial"/>
          <w:b/>
          <w:sz w:val="24"/>
          <w:szCs w:val="24"/>
        </w:rPr>
        <w:t>4</w:t>
      </w:r>
      <w:r w:rsidRPr="00394395">
        <w:rPr>
          <w:rFonts w:ascii="Arial" w:hAnsi="Arial" w:cs="Arial"/>
          <w:b/>
          <w:sz w:val="24"/>
          <w:szCs w:val="24"/>
        </w:rPr>
        <w:t>.-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 Bioetanol que se produzca y/o comercialice dentro del territorio nacional para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mezclado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todo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combustible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líquido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caracterizado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nafta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términos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4°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 la Ley N° 23.996 Título III, de Impuesto sobre los Combustibles Líquidos y el Gas Natural, texto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ordenado en 1998 y sus modificaciones, o en el que pueda prever la legislación nacional que en 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futuro lo reemplace- deberá cumplir con las especificaciones mínimas de calidad detalladas por 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 aplicación.</w:t>
      </w:r>
    </w:p>
    <w:p w14:paraId="536A510E" w14:textId="1C10EED3" w:rsidR="00394395" w:rsidRDefault="00774097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b/>
          <w:sz w:val="24"/>
          <w:szCs w:val="24"/>
        </w:rPr>
        <w:t>ARTÍCULO 1</w:t>
      </w:r>
      <w:r w:rsidR="005B4C4F" w:rsidRPr="00394395">
        <w:rPr>
          <w:rFonts w:ascii="Arial" w:hAnsi="Arial" w:cs="Arial"/>
          <w:b/>
          <w:sz w:val="24"/>
          <w:szCs w:val="24"/>
        </w:rPr>
        <w:t>5</w:t>
      </w:r>
      <w:r w:rsidRPr="00394395">
        <w:rPr>
          <w:rFonts w:ascii="Arial" w:hAnsi="Arial" w:cs="Arial"/>
          <w:b/>
          <w:sz w:val="24"/>
          <w:szCs w:val="24"/>
        </w:rPr>
        <w:t>.-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 empresas productoras de Biocombustibles que no alcancen las especificaciones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 xml:space="preserve">mínimas de calidad previstas en los artículos </w:t>
      </w:r>
      <w:r w:rsidR="008F27EF">
        <w:rPr>
          <w:rFonts w:ascii="Arial" w:hAnsi="Arial" w:cs="Arial"/>
          <w:sz w:val="24"/>
          <w:szCs w:val="24"/>
        </w:rPr>
        <w:t>13</w:t>
      </w:r>
      <w:r w:rsidRPr="004F414C">
        <w:rPr>
          <w:rFonts w:ascii="Arial" w:hAnsi="Arial" w:cs="Arial"/>
          <w:sz w:val="24"/>
          <w:szCs w:val="24"/>
        </w:rPr>
        <w:t xml:space="preserve"> y 1</w:t>
      </w:r>
      <w:r w:rsidR="008F27EF">
        <w:rPr>
          <w:rFonts w:ascii="Arial" w:hAnsi="Arial" w:cs="Arial"/>
          <w:sz w:val="24"/>
          <w:szCs w:val="24"/>
        </w:rPr>
        <w:t>4</w:t>
      </w:r>
      <w:r w:rsidRPr="004F414C">
        <w:rPr>
          <w:rFonts w:ascii="Arial" w:hAnsi="Arial" w:cs="Arial"/>
          <w:sz w:val="24"/>
          <w:szCs w:val="24"/>
        </w:rPr>
        <w:t xml:space="preserve"> de la presente ley, deberá presentar un Plan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Adecuación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sujeto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 aprobación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 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aplicación.</w:t>
      </w:r>
    </w:p>
    <w:p w14:paraId="03F2C2F8" w14:textId="285EAEF2" w:rsidR="00622520" w:rsidRPr="004F414C" w:rsidRDefault="00774097" w:rsidP="00394395">
      <w:pPr>
        <w:pStyle w:val="Textoindependiente"/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sz w:val="24"/>
          <w:szCs w:val="24"/>
        </w:rPr>
        <w:t xml:space="preserve">CAPITULO </w:t>
      </w:r>
      <w:r w:rsidRPr="004F414C">
        <w:rPr>
          <w:rFonts w:ascii="Arial" w:hAnsi="Arial" w:cs="Arial"/>
          <w:sz w:val="24"/>
          <w:szCs w:val="24"/>
        </w:rPr>
        <w:t>II</w:t>
      </w:r>
    </w:p>
    <w:p w14:paraId="132E61C3" w14:textId="77777777" w:rsidR="00622520" w:rsidRPr="004F414C" w:rsidRDefault="00622520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75693C1F" w14:textId="1A13A541" w:rsidR="00622520" w:rsidRPr="004F414C" w:rsidRDefault="00774097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b/>
          <w:sz w:val="24"/>
          <w:szCs w:val="24"/>
        </w:rPr>
        <w:t xml:space="preserve">ARTICULO </w:t>
      </w:r>
      <w:r w:rsidR="005B4C4F" w:rsidRPr="00394395">
        <w:rPr>
          <w:rFonts w:ascii="Arial" w:hAnsi="Arial" w:cs="Arial"/>
          <w:b/>
          <w:sz w:val="24"/>
          <w:szCs w:val="24"/>
        </w:rPr>
        <w:t>16</w:t>
      </w:r>
      <w:r w:rsidRPr="00394395">
        <w:rPr>
          <w:rFonts w:ascii="Arial" w:hAnsi="Arial" w:cs="Arial"/>
          <w:b/>
          <w:sz w:val="24"/>
          <w:szCs w:val="24"/>
        </w:rPr>
        <w:t>. —</w:t>
      </w:r>
      <w:r w:rsidRPr="004F414C">
        <w:rPr>
          <w:rFonts w:ascii="Arial" w:hAnsi="Arial" w:cs="Arial"/>
          <w:sz w:val="24"/>
          <w:szCs w:val="24"/>
        </w:rPr>
        <w:t xml:space="preserve"> Las empresas que cumplan las condiciones establecidas en el artículo 14, gozarán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durante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vigencia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presente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siguientes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beneficios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promocionales:</w:t>
      </w:r>
    </w:p>
    <w:p w14:paraId="305F9D1B" w14:textId="6093FE6E" w:rsidR="00622520" w:rsidRPr="004F414C" w:rsidRDefault="00774097" w:rsidP="00394395">
      <w:pPr>
        <w:pStyle w:val="Textoindependiente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 Subsecretaría de Pequeña y Mediana Empresa promoverá la adquisición de bienes de capital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 parte de las pequeñas y medianas empresas destinados a la producción de biocombustibles. 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elaborará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programas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específicos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contemplen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equilibrio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regional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preverá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recursos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presupuestarios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correspondientes.</w:t>
      </w:r>
    </w:p>
    <w:p w14:paraId="23683456" w14:textId="58F8D22F" w:rsidR="00622520" w:rsidRPr="004F414C" w:rsidRDefault="00774097" w:rsidP="00394395">
      <w:pPr>
        <w:pStyle w:val="Textoindependiente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Secretaría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Ciencia,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Tecnología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Innovación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Productiva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promoverá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investigación,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cooperación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transferencia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tecnología,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entre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pequeñas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lastRenderedPageBreak/>
        <w:t>medianas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empresas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instituciones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pertinentes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Sistema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Público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Ciencia,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Tecnología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Innovación.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tal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fin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elaborará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programas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específicos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preverá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recursos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presupuestarios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correspondientes.</w:t>
      </w:r>
    </w:p>
    <w:p w14:paraId="4BB81F4B" w14:textId="7EB7787D" w:rsidR="00622520" w:rsidRPr="004F414C" w:rsidRDefault="00774097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b/>
          <w:sz w:val="24"/>
          <w:szCs w:val="24"/>
        </w:rPr>
        <w:t xml:space="preserve">ARTICULO </w:t>
      </w:r>
      <w:r w:rsidR="005B4C4F" w:rsidRPr="00394395">
        <w:rPr>
          <w:rFonts w:ascii="Arial" w:hAnsi="Arial" w:cs="Arial"/>
          <w:b/>
          <w:sz w:val="24"/>
          <w:szCs w:val="24"/>
        </w:rPr>
        <w:t>17</w:t>
      </w:r>
      <w:r w:rsidRPr="00394395">
        <w:rPr>
          <w:rFonts w:ascii="Arial" w:hAnsi="Arial" w:cs="Arial"/>
          <w:b/>
          <w:sz w:val="24"/>
          <w:szCs w:val="24"/>
        </w:rPr>
        <w:t>. —</w:t>
      </w:r>
      <w:r w:rsidRPr="004F414C">
        <w:rPr>
          <w:rFonts w:ascii="Arial" w:hAnsi="Arial" w:cs="Arial"/>
          <w:sz w:val="24"/>
          <w:szCs w:val="24"/>
        </w:rPr>
        <w:t xml:space="preserve"> El cupo fiscal total de los beneficios promocionales se fijará anualmente en la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respectiva ley de Presupuesto para la Administración Nacional y será distribuido por el Poder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Ejecutivo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nacional,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priorizando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proyectos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función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siguientes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criterios:</w:t>
      </w:r>
    </w:p>
    <w:p w14:paraId="0A6007A6" w14:textId="77777777" w:rsidR="00622520" w:rsidRPr="004F414C" w:rsidRDefault="00774097" w:rsidP="00394395">
      <w:pPr>
        <w:pStyle w:val="Textoindependiente"/>
        <w:numPr>
          <w:ilvl w:val="0"/>
          <w:numId w:val="1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Promoción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pequeñas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medianas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empresas.</w:t>
      </w:r>
    </w:p>
    <w:p w14:paraId="51169A9A" w14:textId="77777777" w:rsidR="00622520" w:rsidRPr="004F414C" w:rsidRDefault="00774097" w:rsidP="00394395">
      <w:pPr>
        <w:pStyle w:val="Textoindependiente"/>
        <w:numPr>
          <w:ilvl w:val="0"/>
          <w:numId w:val="1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Promoción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productores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agropecuarios.</w:t>
      </w:r>
    </w:p>
    <w:p w14:paraId="0C80B793" w14:textId="09C89FFC" w:rsidR="00622520" w:rsidRDefault="00774097" w:rsidP="00394395">
      <w:pPr>
        <w:pStyle w:val="Textoindependiente"/>
        <w:numPr>
          <w:ilvl w:val="0"/>
          <w:numId w:val="1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Promoción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economías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regionales.</w:t>
      </w:r>
    </w:p>
    <w:p w14:paraId="7776D0A4" w14:textId="77777777" w:rsidR="00394395" w:rsidRDefault="00394395" w:rsidP="00394395">
      <w:pPr>
        <w:pStyle w:val="Textoindependiente"/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0C93C72" w14:textId="5C4FD2C2" w:rsidR="00622520" w:rsidRDefault="00503ADB" w:rsidP="00394395">
      <w:pPr>
        <w:pStyle w:val="Textoindependiente"/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sz w:val="24"/>
          <w:szCs w:val="24"/>
        </w:rPr>
        <w:t>CAPITULO III</w:t>
      </w:r>
    </w:p>
    <w:p w14:paraId="5BFFA8CF" w14:textId="77777777" w:rsidR="00394395" w:rsidRDefault="00394395" w:rsidP="00394395">
      <w:pPr>
        <w:pStyle w:val="Textoindependiente"/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5635E6E5" w14:textId="6E891D86" w:rsidR="00622520" w:rsidRPr="004F414C" w:rsidRDefault="00774097" w:rsidP="00394395">
      <w:pPr>
        <w:pStyle w:val="Textoindependiente"/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394395">
        <w:rPr>
          <w:rFonts w:ascii="Arial" w:hAnsi="Arial" w:cs="Arial"/>
          <w:i/>
          <w:sz w:val="24"/>
          <w:szCs w:val="24"/>
        </w:rPr>
        <w:t xml:space="preserve">Infracciones </w:t>
      </w:r>
      <w:r w:rsidRPr="004F414C">
        <w:rPr>
          <w:rFonts w:ascii="Arial" w:hAnsi="Arial" w:cs="Arial"/>
          <w:i/>
          <w:sz w:val="24"/>
          <w:szCs w:val="24"/>
        </w:rPr>
        <w:t>y</w:t>
      </w:r>
      <w:r w:rsidRPr="00394395">
        <w:rPr>
          <w:rFonts w:ascii="Arial" w:hAnsi="Arial" w:cs="Arial"/>
          <w:i/>
          <w:sz w:val="24"/>
          <w:szCs w:val="24"/>
        </w:rPr>
        <w:t xml:space="preserve"> </w:t>
      </w:r>
      <w:r w:rsidRPr="004F414C">
        <w:rPr>
          <w:rFonts w:ascii="Arial" w:hAnsi="Arial" w:cs="Arial"/>
          <w:i/>
          <w:sz w:val="24"/>
          <w:szCs w:val="24"/>
        </w:rPr>
        <w:t>Sanciones</w:t>
      </w:r>
      <w:r w:rsidRPr="00394395">
        <w:rPr>
          <w:rFonts w:ascii="Arial" w:hAnsi="Arial" w:cs="Arial"/>
          <w:i/>
          <w:sz w:val="24"/>
          <w:szCs w:val="24"/>
        </w:rPr>
        <w:t xml:space="preserve"> </w:t>
      </w:r>
    </w:p>
    <w:p w14:paraId="10CC186B" w14:textId="1D3E9232" w:rsidR="00622520" w:rsidRPr="004F414C" w:rsidRDefault="00774097" w:rsidP="00394395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4395">
        <w:rPr>
          <w:rFonts w:ascii="Arial" w:hAnsi="Arial" w:cs="Arial"/>
          <w:b/>
          <w:sz w:val="24"/>
          <w:szCs w:val="24"/>
        </w:rPr>
        <w:t xml:space="preserve">ARTICULO </w:t>
      </w:r>
      <w:r w:rsidR="005B4C4F" w:rsidRPr="00394395">
        <w:rPr>
          <w:rFonts w:ascii="Arial" w:hAnsi="Arial" w:cs="Arial"/>
          <w:b/>
          <w:sz w:val="24"/>
          <w:szCs w:val="24"/>
        </w:rPr>
        <w:t>18</w:t>
      </w:r>
      <w:r w:rsidRPr="00394395">
        <w:rPr>
          <w:rFonts w:ascii="Arial" w:hAnsi="Arial" w:cs="Arial"/>
          <w:b/>
          <w:sz w:val="24"/>
          <w:szCs w:val="24"/>
        </w:rPr>
        <w:t>. —</w:t>
      </w:r>
      <w:r w:rsidRPr="004F414C">
        <w:rPr>
          <w:rFonts w:ascii="Arial" w:hAnsi="Arial" w:cs="Arial"/>
          <w:sz w:val="24"/>
          <w:szCs w:val="24"/>
        </w:rPr>
        <w:t xml:space="preserve"> El incumplimiento de las normas de la presente ley y de las disposiciones y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resoluciones de la autoridad de aplicación, dará lugar a la aplicación por parte de ésta de algunas o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todas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 sanciones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394395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detallan a continuación:</w:t>
      </w:r>
    </w:p>
    <w:p w14:paraId="7E8BCA73" w14:textId="7207CE76" w:rsidR="00622520" w:rsidRPr="004F414C" w:rsidRDefault="00774097" w:rsidP="00BB6A4D">
      <w:pPr>
        <w:pStyle w:val="Textoindependiente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Para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plantas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habilitadas:</w:t>
      </w:r>
    </w:p>
    <w:p w14:paraId="3618D763" w14:textId="77777777" w:rsidR="00622520" w:rsidRPr="004F414C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Inhabilitación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desarrollar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dicha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actividad;</w:t>
      </w:r>
    </w:p>
    <w:p w14:paraId="47A14754" w14:textId="77777777" w:rsidR="00622520" w:rsidRPr="004F414C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multas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pudieran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corresponder;</w:t>
      </w:r>
    </w:p>
    <w:p w14:paraId="03A790DA" w14:textId="77777777" w:rsidR="00622520" w:rsidRPr="004F414C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Inhabilitación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inscribirse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nuevamente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registro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productores.</w:t>
      </w:r>
    </w:p>
    <w:p w14:paraId="3C3639FB" w14:textId="22D2A663" w:rsidR="00622520" w:rsidRPr="004F414C" w:rsidRDefault="00774097" w:rsidP="00BB6A4D">
      <w:pPr>
        <w:pStyle w:val="Textoindependiente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Para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sujetos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beneficiarios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cupos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otorgados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conforme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16:</w:t>
      </w:r>
    </w:p>
    <w:p w14:paraId="5107E497" w14:textId="77777777" w:rsidR="00622520" w:rsidRPr="004F414C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Revocación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inscripción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registro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beneficiarios;</w:t>
      </w:r>
    </w:p>
    <w:p w14:paraId="4B78BFA5" w14:textId="77777777" w:rsidR="00622520" w:rsidRPr="004F414C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Revocación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beneficios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otorgados;</w:t>
      </w:r>
    </w:p>
    <w:p w14:paraId="724EF584" w14:textId="77777777" w:rsidR="00622520" w:rsidRPr="004F414C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Pago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tributos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no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ingresados,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más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intereses,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multas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y/o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recargos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establezca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Administración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Federal 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Ingresos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Públicos;</w:t>
      </w:r>
    </w:p>
    <w:p w14:paraId="293A58E7" w14:textId="7EE8CA60" w:rsidR="00622520" w:rsidRPr="004F414C" w:rsidRDefault="00774097" w:rsidP="00BB6A4D">
      <w:pPr>
        <w:pStyle w:val="Textoindependiente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Para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instalaciones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habilitadas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aplicación:</w:t>
      </w:r>
    </w:p>
    <w:p w14:paraId="1C1F0D99" w14:textId="77777777" w:rsidR="00622520" w:rsidRPr="004F414C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multas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disponga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BB6A4D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aplicación;</w:t>
      </w:r>
    </w:p>
    <w:p w14:paraId="3EEA1D4C" w14:textId="77777777" w:rsidR="00BB6A4D" w:rsidRPr="00BB6A4D" w:rsidRDefault="00774097" w:rsidP="00BB6A4D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Inhabilitación para desarrollar dicha actividad.</w:t>
      </w:r>
    </w:p>
    <w:p w14:paraId="0558277D" w14:textId="77777777" w:rsidR="009431EF" w:rsidRDefault="00774097" w:rsidP="009431EF">
      <w:pPr>
        <w:pStyle w:val="Textoindependiente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sz w:val="24"/>
          <w:szCs w:val="24"/>
        </w:rPr>
        <w:t>Para los sujetos mencionados en el artículo 14:</w:t>
      </w:r>
    </w:p>
    <w:p w14:paraId="61A56BCF" w14:textId="19394AEA" w:rsidR="00622520" w:rsidRPr="009431EF" w:rsidRDefault="00774097" w:rsidP="009431EF">
      <w:pPr>
        <w:pStyle w:val="Textoindependiente"/>
        <w:numPr>
          <w:ilvl w:val="1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sz w:val="24"/>
          <w:szCs w:val="24"/>
        </w:rPr>
        <w:t>Las multas que disponga la Autoridad de Aplicación.</w:t>
      </w:r>
    </w:p>
    <w:p w14:paraId="2225BBF1" w14:textId="77777777" w:rsidR="00622520" w:rsidRPr="004F414C" w:rsidRDefault="00622520" w:rsidP="004F414C">
      <w:pPr>
        <w:pStyle w:val="Textoindependiente"/>
        <w:spacing w:before="8"/>
        <w:jc w:val="both"/>
        <w:rPr>
          <w:rFonts w:ascii="Arial" w:hAnsi="Arial" w:cs="Arial"/>
          <w:sz w:val="24"/>
          <w:szCs w:val="24"/>
        </w:rPr>
      </w:pPr>
    </w:p>
    <w:p w14:paraId="1CA7DAEE" w14:textId="047B4D07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sz w:val="24"/>
          <w:szCs w:val="24"/>
        </w:rPr>
        <w:t xml:space="preserve">ARTICULO </w:t>
      </w:r>
      <w:r w:rsidR="005B4C4F" w:rsidRPr="009431EF">
        <w:rPr>
          <w:rFonts w:ascii="Arial" w:hAnsi="Arial" w:cs="Arial"/>
          <w:sz w:val="24"/>
          <w:szCs w:val="24"/>
        </w:rPr>
        <w:t>19</w:t>
      </w:r>
      <w:r w:rsidRPr="009431EF">
        <w:rPr>
          <w:rFonts w:ascii="Arial" w:hAnsi="Arial" w:cs="Arial"/>
          <w:sz w:val="24"/>
          <w:szCs w:val="24"/>
        </w:rPr>
        <w:t xml:space="preserve">. </w:t>
      </w:r>
      <w:r w:rsidRPr="004F414C">
        <w:rPr>
          <w:rFonts w:ascii="Arial" w:hAnsi="Arial" w:cs="Arial"/>
          <w:sz w:val="24"/>
          <w:szCs w:val="24"/>
        </w:rPr>
        <w:t xml:space="preserve">— </w:t>
      </w:r>
      <w:proofErr w:type="spellStart"/>
      <w:r w:rsidRPr="004F414C">
        <w:rPr>
          <w:rFonts w:ascii="Arial" w:hAnsi="Arial" w:cs="Arial"/>
          <w:sz w:val="24"/>
          <w:szCs w:val="24"/>
        </w:rPr>
        <w:t>Establécese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que las penalidades con que pueden ser sancionadas las plantas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habilitadas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 las instalaciones 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serán:</w:t>
      </w:r>
    </w:p>
    <w:p w14:paraId="6E868FC9" w14:textId="77777777" w:rsidR="00622520" w:rsidRPr="004F414C" w:rsidRDefault="00622520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B46FC1E" w14:textId="77777777" w:rsidR="00622520" w:rsidRPr="004F414C" w:rsidRDefault="00774097" w:rsidP="009431EF">
      <w:pPr>
        <w:pStyle w:val="Textoindependien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faltas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muy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graves,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sancionables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multas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equivalentes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precio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venta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público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hasta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MIL (100.000)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litros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 nafta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súper.</w:t>
      </w:r>
    </w:p>
    <w:p w14:paraId="7B78EAE1" w14:textId="77777777" w:rsidR="00622520" w:rsidRPr="004F414C" w:rsidRDefault="00774097" w:rsidP="009431EF">
      <w:pPr>
        <w:pStyle w:val="Textoindependien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faltas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graves,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sancionables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autoridad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multas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equivalentes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precio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venta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 público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hasta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CINCUENTA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(50.000)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litros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nafta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súper.</w:t>
      </w:r>
    </w:p>
    <w:p w14:paraId="35F6F075" w14:textId="77777777" w:rsidR="00622520" w:rsidRPr="004F414C" w:rsidRDefault="00774097" w:rsidP="009431EF">
      <w:pPr>
        <w:pStyle w:val="Textoindependien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lastRenderedPageBreak/>
        <w:t>Las faltas leves, sancionables por la autoridad de aplicación con multas equivalentes al precio 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venta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 público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 hasta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DIEZ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MIL (10.000)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litros de nafta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súper.</w:t>
      </w:r>
    </w:p>
    <w:p w14:paraId="318C1C24" w14:textId="77777777" w:rsidR="00622520" w:rsidRPr="004F414C" w:rsidRDefault="00774097" w:rsidP="009431EF">
      <w:pPr>
        <w:pStyle w:val="Textoindependien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La reincidencia en infracciones por parte de un mismo operador, dará lugar a la aplicación 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sanciones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sucesivas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mayor gravedad hasta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duplicación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respecto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anterior.</w:t>
      </w:r>
    </w:p>
    <w:p w14:paraId="5D825B48" w14:textId="77777777" w:rsidR="00622520" w:rsidRPr="004F414C" w:rsidRDefault="00774097" w:rsidP="009431EF">
      <w:pPr>
        <w:pStyle w:val="Textoindependien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caso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reincidencia:</w:t>
      </w:r>
    </w:p>
    <w:p w14:paraId="02D70E90" w14:textId="77777777" w:rsidR="00622520" w:rsidRPr="004F414C" w:rsidRDefault="00774097" w:rsidP="009431EF">
      <w:pPr>
        <w:pStyle w:val="Textoindependiente"/>
        <w:numPr>
          <w:ilvl w:val="1"/>
          <w:numId w:val="19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una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falta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leve,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podrán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sanciones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previstas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faltas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graves.</w:t>
      </w:r>
    </w:p>
    <w:p w14:paraId="7EA0E855" w14:textId="77777777" w:rsidR="00622520" w:rsidRPr="004F414C" w:rsidRDefault="00774097" w:rsidP="009431EF">
      <w:pPr>
        <w:pStyle w:val="Textoindependiente"/>
        <w:numPr>
          <w:ilvl w:val="1"/>
          <w:numId w:val="19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una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falta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grave,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podrán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sanciones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previstas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faltas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muy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graves.</w:t>
      </w:r>
    </w:p>
    <w:p w14:paraId="11FF4BDE" w14:textId="77777777" w:rsidR="00622520" w:rsidRPr="004F414C" w:rsidRDefault="00774097" w:rsidP="009431EF">
      <w:pPr>
        <w:pStyle w:val="Textoindependiente"/>
        <w:numPr>
          <w:ilvl w:val="1"/>
          <w:numId w:val="19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En una falta muy grave, sin perjuicio de las sanciones establecidas en el punto a) del presente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artículo, la autoridad de aplicación podrá disponer la suspensión del infractor de los respectivos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registros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inhabilitación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inscribirse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nuevamente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registro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productores.</w:t>
      </w:r>
    </w:p>
    <w:p w14:paraId="0A0E4B82" w14:textId="77777777" w:rsidR="00622520" w:rsidRPr="004F414C" w:rsidRDefault="00622520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173751E" w14:textId="0946B640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3ADB">
        <w:rPr>
          <w:rFonts w:ascii="Arial" w:hAnsi="Arial" w:cs="Arial"/>
          <w:b/>
          <w:sz w:val="24"/>
          <w:szCs w:val="24"/>
        </w:rPr>
        <w:t>ARTICULO 2</w:t>
      </w:r>
      <w:r w:rsidR="005B4C4F" w:rsidRPr="00503ADB">
        <w:rPr>
          <w:rFonts w:ascii="Arial" w:hAnsi="Arial" w:cs="Arial"/>
          <w:b/>
          <w:sz w:val="24"/>
          <w:szCs w:val="24"/>
        </w:rPr>
        <w:t>0</w:t>
      </w:r>
      <w:r w:rsidRPr="00503ADB">
        <w:rPr>
          <w:rFonts w:ascii="Arial" w:hAnsi="Arial" w:cs="Arial"/>
          <w:b/>
          <w:sz w:val="24"/>
          <w:szCs w:val="24"/>
        </w:rPr>
        <w:t>. —</w:t>
      </w:r>
      <w:r w:rsidRPr="004F414C">
        <w:rPr>
          <w:rFonts w:ascii="Arial" w:hAnsi="Arial" w:cs="Arial"/>
          <w:sz w:val="24"/>
          <w:szCs w:val="24"/>
        </w:rPr>
        <w:t xml:space="preserve"> A los efectos de la actuación administrativa de la autoridad de aplicación, será 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aplicación 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 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Procedimientos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Administrativos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normas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reglamentarias.</w:t>
      </w:r>
    </w:p>
    <w:p w14:paraId="13FA8661" w14:textId="77777777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Agotada la vía administrativa procederá el recurso en sede judicial directamente ante la Cámara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Federal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Apelaciones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competencia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materia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contencioso-administrativa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jurisdicción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 lugar del hecho. Los recursos que se interpongan contra la aplicación de las sanciones previstas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presente ley tendrán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efecto devolutivo.</w:t>
      </w:r>
    </w:p>
    <w:p w14:paraId="0D020431" w14:textId="77777777" w:rsidR="00622520" w:rsidRPr="004F414C" w:rsidRDefault="00622520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167942F" w14:textId="77777777" w:rsidR="00622520" w:rsidRPr="009431EF" w:rsidRDefault="00774097" w:rsidP="009431EF">
      <w:pPr>
        <w:pStyle w:val="Textoindependiente"/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9431EF">
        <w:rPr>
          <w:rFonts w:ascii="Arial" w:hAnsi="Arial" w:cs="Arial"/>
          <w:i/>
          <w:sz w:val="24"/>
          <w:szCs w:val="24"/>
        </w:rPr>
        <w:t>Comisión Especial de Biocombustibles</w:t>
      </w:r>
    </w:p>
    <w:p w14:paraId="00C54E1E" w14:textId="7B1332BA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>ARTÍCULO 2</w:t>
      </w:r>
      <w:r w:rsidR="005B4C4F" w:rsidRPr="009431EF">
        <w:rPr>
          <w:rFonts w:ascii="Arial" w:hAnsi="Arial" w:cs="Arial"/>
          <w:b/>
          <w:sz w:val="24"/>
          <w:szCs w:val="24"/>
        </w:rPr>
        <w:t>1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Crease la Comisión Especial de Biocombustibles, que tendrá por finalidad el estudio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 análisis de las posibilidades del sector, la consulta con todos los actores involucrados, así como 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formulación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propuestas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proyectos.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Comisión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estará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compuesta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representantes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designados por los Ministerios de Desarrollo Productivo, quien la presidirá, Economía, Ciencia 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Tecnología, Agricultura, la Secretaría de Energía</w:t>
      </w:r>
      <w:r w:rsidR="008405EB" w:rsidRPr="004F414C">
        <w:rPr>
          <w:rFonts w:ascii="Arial" w:hAnsi="Arial" w:cs="Arial"/>
          <w:sz w:val="24"/>
          <w:szCs w:val="24"/>
        </w:rPr>
        <w:t xml:space="preserve"> y podrá convocar </w:t>
      </w:r>
      <w:r w:rsidRPr="004F414C">
        <w:rPr>
          <w:rFonts w:ascii="Arial" w:hAnsi="Arial" w:cs="Arial"/>
          <w:sz w:val="24"/>
          <w:szCs w:val="24"/>
        </w:rPr>
        <w:t>un Consejo de Provincias</w:t>
      </w:r>
      <w:r w:rsidR="008405EB" w:rsidRPr="004F414C">
        <w:rPr>
          <w:rFonts w:ascii="Arial" w:hAnsi="Arial" w:cs="Arial"/>
          <w:sz w:val="24"/>
          <w:szCs w:val="24"/>
        </w:rPr>
        <w:t xml:space="preserve"> que participan de la formación de la cadena de valor de biocombustibles.</w:t>
      </w:r>
      <w:r w:rsidRPr="004F414C">
        <w:rPr>
          <w:rFonts w:ascii="Arial" w:hAnsi="Arial" w:cs="Arial"/>
          <w:sz w:val="24"/>
          <w:szCs w:val="24"/>
        </w:rPr>
        <w:t xml:space="preserve"> </w:t>
      </w:r>
    </w:p>
    <w:p w14:paraId="77B3809C" w14:textId="2A8E01FB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>ARTÍCULO 2</w:t>
      </w:r>
      <w:r w:rsidR="005B4C4F" w:rsidRPr="009431EF">
        <w:rPr>
          <w:rFonts w:ascii="Arial" w:hAnsi="Arial" w:cs="Arial"/>
          <w:b/>
          <w:sz w:val="24"/>
          <w:szCs w:val="24"/>
        </w:rPr>
        <w:t>2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Estado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trate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administración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central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organismos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descentralizados o autárquicos, así como también aquellos emprendimientos privados que se</w:t>
      </w:r>
      <w:r w:rsidRPr="009431EF">
        <w:rPr>
          <w:rFonts w:ascii="Arial" w:hAnsi="Arial" w:cs="Arial"/>
          <w:sz w:val="24"/>
          <w:szCs w:val="24"/>
        </w:rPr>
        <w:t xml:space="preserve"> encuentren ubicados sobre las vías fluviales, </w:t>
      </w:r>
      <w:r w:rsidRPr="004F414C">
        <w:rPr>
          <w:rFonts w:ascii="Arial" w:hAnsi="Arial" w:cs="Arial"/>
          <w:sz w:val="24"/>
          <w:szCs w:val="24"/>
        </w:rPr>
        <w:t>lagos,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lagunas,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especial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dentro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jurisdicciones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Parques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Reservas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Ecológicas,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deberán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utilizar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biodiesel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bioetanol,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porcentajes que determine la autoridad de aplicación, y biogás sin corte o mezcla. La autoridad de</w:t>
      </w:r>
      <w:r w:rsidRPr="009431EF">
        <w:rPr>
          <w:rFonts w:ascii="Arial" w:hAnsi="Arial" w:cs="Arial"/>
          <w:sz w:val="24"/>
          <w:szCs w:val="24"/>
        </w:rPr>
        <w:t xml:space="preserve"> aplicación deberá tomar los recaudos necesarios </w:t>
      </w:r>
      <w:r w:rsidRPr="004F414C">
        <w:rPr>
          <w:rFonts w:ascii="Arial" w:hAnsi="Arial" w:cs="Arial"/>
          <w:sz w:val="24"/>
          <w:szCs w:val="24"/>
        </w:rPr>
        <w:t>para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garantizar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provisión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dichos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combustibles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cantidades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suficientes y con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flujo permanente.</w:t>
      </w:r>
    </w:p>
    <w:p w14:paraId="5F91CD88" w14:textId="24EED021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>ARTICULO 2</w:t>
      </w:r>
      <w:r w:rsidR="005B4C4F" w:rsidRPr="009431EF">
        <w:rPr>
          <w:rFonts w:ascii="Arial" w:hAnsi="Arial" w:cs="Arial"/>
          <w:b/>
          <w:sz w:val="24"/>
          <w:szCs w:val="24"/>
        </w:rPr>
        <w:t>3</w:t>
      </w:r>
      <w:r w:rsidRPr="009431EF">
        <w:rPr>
          <w:rFonts w:ascii="Arial" w:hAnsi="Arial" w:cs="Arial"/>
          <w:b/>
          <w:sz w:val="24"/>
          <w:szCs w:val="24"/>
        </w:rPr>
        <w:t>. —</w:t>
      </w:r>
      <w:r w:rsidRPr="004F414C">
        <w:rPr>
          <w:rFonts w:ascii="Arial" w:hAnsi="Arial" w:cs="Arial"/>
          <w:sz w:val="24"/>
          <w:szCs w:val="24"/>
        </w:rPr>
        <w:t xml:space="preserve"> Todos los proyectos calificados y aprobados por la Autoridad de Aplicación serán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alcanzados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beneficios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prevén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mecanismos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—sean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Derechos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Reducción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</w:p>
    <w:p w14:paraId="091EDFA3" w14:textId="77777777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Emisiones; Créditos de Carbono y cualquier otro título de similares características— del Protocolo</w:t>
      </w:r>
      <w:r w:rsidRPr="009431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31EF">
        <w:rPr>
          <w:rFonts w:ascii="Arial" w:hAnsi="Arial" w:cs="Arial"/>
          <w:sz w:val="24"/>
          <w:szCs w:val="24"/>
        </w:rPr>
        <w:t>Kyoto</w:t>
      </w:r>
      <w:proofErr w:type="spellEnd"/>
      <w:r w:rsidRPr="009431EF">
        <w:rPr>
          <w:rFonts w:ascii="Arial" w:hAnsi="Arial" w:cs="Arial"/>
          <w:sz w:val="24"/>
          <w:szCs w:val="24"/>
        </w:rPr>
        <w:t xml:space="preserve"> de la Convención Marco de las </w:t>
      </w:r>
      <w:r w:rsidRPr="004F414C">
        <w:rPr>
          <w:rFonts w:ascii="Arial" w:hAnsi="Arial" w:cs="Arial"/>
          <w:sz w:val="24"/>
          <w:szCs w:val="24"/>
        </w:rPr>
        <w:t>Naciones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Unidas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sobre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Cambio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Climático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1997,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ratificado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Argentina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mediante Ley Nº 25.438.</w:t>
      </w:r>
    </w:p>
    <w:p w14:paraId="19BA11FC" w14:textId="77777777" w:rsidR="009431EF" w:rsidRDefault="009431EF" w:rsidP="009431EF">
      <w:pPr>
        <w:pStyle w:val="Textoindependiente"/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4D4A25BC" w14:textId="51328235" w:rsidR="00622520" w:rsidRPr="009431EF" w:rsidRDefault="00774097" w:rsidP="009431EF">
      <w:pPr>
        <w:pStyle w:val="Textoindependiente"/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9431EF">
        <w:rPr>
          <w:rFonts w:ascii="Arial" w:hAnsi="Arial" w:cs="Arial"/>
          <w:i/>
          <w:sz w:val="24"/>
          <w:szCs w:val="24"/>
        </w:rPr>
        <w:t>Normas complementarias</w:t>
      </w:r>
    </w:p>
    <w:p w14:paraId="16CA1DD6" w14:textId="78B34293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lastRenderedPageBreak/>
        <w:t>ARTÍCULO 2</w:t>
      </w:r>
      <w:r w:rsidR="005B4C4F" w:rsidRPr="009431EF">
        <w:rPr>
          <w:rFonts w:ascii="Arial" w:hAnsi="Arial" w:cs="Arial"/>
          <w:b/>
          <w:sz w:val="24"/>
          <w:szCs w:val="24"/>
        </w:rPr>
        <w:t>4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Deróguense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12°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15°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Decreto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N°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109/07.</w:t>
      </w:r>
    </w:p>
    <w:p w14:paraId="62E76478" w14:textId="77777777" w:rsidR="00622520" w:rsidRPr="004F414C" w:rsidRDefault="00622520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206459B" w14:textId="100DF146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>ARTÍCULO 2</w:t>
      </w:r>
      <w:r w:rsidR="005B4C4F" w:rsidRPr="009431EF">
        <w:rPr>
          <w:rFonts w:ascii="Arial" w:hAnsi="Arial" w:cs="Arial"/>
          <w:b/>
          <w:sz w:val="24"/>
          <w:szCs w:val="24"/>
        </w:rPr>
        <w:t>5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Elimínese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último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párrafo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10°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Decreto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N°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109/07.</w:t>
      </w:r>
    </w:p>
    <w:p w14:paraId="657E8EEA" w14:textId="01EDC541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9431EF">
        <w:rPr>
          <w:rFonts w:ascii="Arial" w:hAnsi="Arial" w:cs="Arial"/>
          <w:b/>
          <w:sz w:val="24"/>
          <w:szCs w:val="24"/>
        </w:rPr>
        <w:t>26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14C">
        <w:rPr>
          <w:rFonts w:ascii="Arial" w:hAnsi="Arial" w:cs="Arial"/>
          <w:sz w:val="24"/>
          <w:szCs w:val="24"/>
        </w:rPr>
        <w:t>Incorpórase</w:t>
      </w:r>
      <w:proofErr w:type="spellEnd"/>
      <w:r w:rsidRPr="004F414C">
        <w:rPr>
          <w:rFonts w:ascii="Arial" w:hAnsi="Arial" w:cs="Arial"/>
          <w:sz w:val="24"/>
          <w:szCs w:val="24"/>
        </w:rPr>
        <w:t xml:space="preserve"> como requisito exigido por el artículo 2 de la Ley N° 26.334 el siguiente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inciso:</w:t>
      </w:r>
    </w:p>
    <w:p w14:paraId="2BA41E10" w14:textId="77777777" w:rsidR="00622520" w:rsidRPr="004F414C" w:rsidRDefault="00774097" w:rsidP="009431EF">
      <w:pPr>
        <w:pStyle w:val="Textoindependiente"/>
        <w:spacing w:before="120" w:after="120"/>
        <w:ind w:left="7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d) Sean productores de Bioetanol a base de Caña de azúcar, o tengan una producción anual igual 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menor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NOVENTA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metros cúbicos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(90.000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m3)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bioetanol 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base 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Maíz.</w:t>
      </w:r>
    </w:p>
    <w:p w14:paraId="013C7E2A" w14:textId="19B4F248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9431EF">
        <w:rPr>
          <w:rFonts w:ascii="Arial" w:hAnsi="Arial" w:cs="Arial"/>
          <w:b/>
          <w:sz w:val="24"/>
          <w:szCs w:val="24"/>
        </w:rPr>
        <w:t>27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Deróguese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Decreto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N°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543/16.</w:t>
      </w:r>
    </w:p>
    <w:p w14:paraId="67E8FF37" w14:textId="4DBF7951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9431EF">
        <w:rPr>
          <w:rFonts w:ascii="Arial" w:hAnsi="Arial" w:cs="Arial"/>
          <w:b/>
          <w:sz w:val="24"/>
          <w:szCs w:val="24"/>
        </w:rPr>
        <w:t>28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Déjense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sin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efecto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porcentajes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obligatoria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establecidos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9431EF">
        <w:rPr>
          <w:rFonts w:ascii="Arial" w:hAnsi="Arial" w:cs="Arial"/>
          <w:sz w:val="24"/>
          <w:szCs w:val="24"/>
        </w:rPr>
        <w:t xml:space="preserve"> Resoluciones </w:t>
      </w:r>
      <w:proofErr w:type="spellStart"/>
      <w:r w:rsidRPr="009431EF">
        <w:rPr>
          <w:rFonts w:ascii="Arial" w:hAnsi="Arial" w:cs="Arial"/>
          <w:sz w:val="24"/>
          <w:szCs w:val="24"/>
        </w:rPr>
        <w:t>Nros</w:t>
      </w:r>
      <w:proofErr w:type="spellEnd"/>
      <w:r w:rsidRPr="009431EF">
        <w:rPr>
          <w:rFonts w:ascii="Arial" w:hAnsi="Arial" w:cs="Arial"/>
          <w:sz w:val="24"/>
          <w:szCs w:val="24"/>
        </w:rPr>
        <w:t xml:space="preserve">. 1673 del 20 de diciembre </w:t>
      </w:r>
      <w:r w:rsidRPr="004F414C">
        <w:rPr>
          <w:rFonts w:ascii="Arial" w:hAnsi="Arial" w:cs="Arial"/>
          <w:sz w:val="24"/>
          <w:szCs w:val="24"/>
        </w:rPr>
        <w:t>de2010,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56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9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marzo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2012,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450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6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agosto</w:t>
      </w:r>
    </w:p>
    <w:p w14:paraId="7093D621" w14:textId="77777777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2013,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390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30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abril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2014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660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20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agosto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2015,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todas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SECRETARÍA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ENERGÍA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ex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MINISTERIO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PLANIFICACIÓN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FEDERAL,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INVERSIÓN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PÚBLICA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SERVICIOS;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</w:p>
    <w:p w14:paraId="728A9CC8" w14:textId="77777777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F414C">
        <w:rPr>
          <w:rFonts w:ascii="Arial" w:hAnsi="Arial" w:cs="Arial"/>
          <w:sz w:val="24"/>
          <w:szCs w:val="24"/>
        </w:rPr>
        <w:t>Resolución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N°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37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6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abril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2016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MINISTERIO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ENERGÍA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MINERÍA.</w:t>
      </w:r>
    </w:p>
    <w:p w14:paraId="609E6306" w14:textId="2FC58E50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9431EF">
        <w:rPr>
          <w:rFonts w:ascii="Arial" w:hAnsi="Arial" w:cs="Arial"/>
          <w:b/>
          <w:sz w:val="24"/>
          <w:szCs w:val="24"/>
        </w:rPr>
        <w:t>29</w:t>
      </w:r>
      <w:r w:rsidRPr="009431EF">
        <w:rPr>
          <w:rFonts w:ascii="Arial" w:hAnsi="Arial" w:cs="Arial"/>
          <w:b/>
          <w:sz w:val="24"/>
          <w:szCs w:val="24"/>
        </w:rPr>
        <w:t>°.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biodiesel,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bioetanol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anhidro, no estarán gravados por el Impuesto a los Combustibles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Líquidos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(ICL)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Impuesto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Dióxido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Carbono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(ICO2),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establecidos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Título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III,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Capítulo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 II, respectivamente de la Ley 23.966 T.O.,  alcanzando 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citado tratamiento a todas sus etapas de producción, distribución y comercialización. En el caso de</w:t>
      </w:r>
      <w:r w:rsidRPr="009431EF">
        <w:rPr>
          <w:rFonts w:ascii="Arial" w:hAnsi="Arial" w:cs="Arial"/>
          <w:sz w:val="24"/>
          <w:szCs w:val="24"/>
        </w:rPr>
        <w:t xml:space="preserve"> mezcla con combustibles fósiles, dichos </w:t>
      </w:r>
      <w:r w:rsidRPr="004F414C">
        <w:rPr>
          <w:rFonts w:ascii="Arial" w:hAnsi="Arial" w:cs="Arial"/>
          <w:sz w:val="24"/>
          <w:szCs w:val="24"/>
        </w:rPr>
        <w:t>impuestos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gravarán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proporcionalmente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sólo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componente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combustible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fósil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que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integra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mezcla.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desgravación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prevista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este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artículo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corresponderá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tanto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cuanto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materias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primas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utilizadas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respectivos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procesos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productivos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sean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origen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nacional.</w:t>
      </w:r>
    </w:p>
    <w:p w14:paraId="76469D98" w14:textId="0E15B19A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9431EF">
        <w:rPr>
          <w:rFonts w:ascii="Arial" w:hAnsi="Arial" w:cs="Arial"/>
          <w:b/>
          <w:sz w:val="24"/>
          <w:szCs w:val="24"/>
        </w:rPr>
        <w:t>30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presente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ley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entrará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en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vigor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a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partir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del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13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mayo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2021.</w:t>
      </w:r>
    </w:p>
    <w:p w14:paraId="65CA75F7" w14:textId="714B140B" w:rsidR="00622520" w:rsidRPr="004F414C" w:rsidRDefault="00774097" w:rsidP="009431EF">
      <w:pPr>
        <w:pStyle w:val="Textoindependiente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31EF">
        <w:rPr>
          <w:rFonts w:ascii="Arial" w:hAnsi="Arial" w:cs="Arial"/>
          <w:b/>
          <w:sz w:val="24"/>
          <w:szCs w:val="24"/>
        </w:rPr>
        <w:t xml:space="preserve">ARTÍCULO </w:t>
      </w:r>
      <w:r w:rsidR="005B4C4F" w:rsidRPr="009431EF">
        <w:rPr>
          <w:rFonts w:ascii="Arial" w:hAnsi="Arial" w:cs="Arial"/>
          <w:b/>
          <w:sz w:val="24"/>
          <w:szCs w:val="24"/>
        </w:rPr>
        <w:t>31</w:t>
      </w:r>
      <w:r w:rsidRPr="009431EF">
        <w:rPr>
          <w:rFonts w:ascii="Arial" w:hAnsi="Arial" w:cs="Arial"/>
          <w:b/>
          <w:sz w:val="24"/>
          <w:szCs w:val="24"/>
        </w:rPr>
        <w:t>.-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De</w:t>
      </w:r>
      <w:r w:rsidRPr="009431EF">
        <w:rPr>
          <w:rFonts w:ascii="Arial" w:hAnsi="Arial" w:cs="Arial"/>
          <w:sz w:val="24"/>
          <w:szCs w:val="24"/>
        </w:rPr>
        <w:t xml:space="preserve"> </w:t>
      </w:r>
      <w:r w:rsidRPr="004F414C">
        <w:rPr>
          <w:rFonts w:ascii="Arial" w:hAnsi="Arial" w:cs="Arial"/>
          <w:sz w:val="24"/>
          <w:szCs w:val="24"/>
        </w:rPr>
        <w:t>Forma.</w:t>
      </w:r>
    </w:p>
    <w:sectPr w:rsidR="00622520" w:rsidRPr="004F414C" w:rsidSect="00394395">
      <w:pgSz w:w="11906" w:h="16838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6795"/>
    <w:multiLevelType w:val="hybridMultilevel"/>
    <w:tmpl w:val="FA181F46"/>
    <w:lvl w:ilvl="0" w:tplc="062AF66E">
      <w:start w:val="1"/>
      <w:numFmt w:val="lowerLetter"/>
      <w:lvlText w:val="%1)"/>
      <w:lvlJc w:val="left"/>
      <w:pPr>
        <w:ind w:left="323" w:hanging="222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99F26F6C">
      <w:start w:val="1"/>
      <w:numFmt w:val="lowerLetter"/>
      <w:lvlText w:val="%2)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2" w:tplc="ED78A1CA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5B043E82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8050E6A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0D7468C6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05086968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1966C140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27D8F22A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533A5B"/>
    <w:multiLevelType w:val="hybridMultilevel"/>
    <w:tmpl w:val="0F302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40045"/>
    <w:multiLevelType w:val="hybridMultilevel"/>
    <w:tmpl w:val="0E5E84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297C"/>
    <w:multiLevelType w:val="hybridMultilevel"/>
    <w:tmpl w:val="79EA9A7C"/>
    <w:lvl w:ilvl="0" w:tplc="F196A026">
      <w:start w:val="1"/>
      <w:numFmt w:val="lowerLetter"/>
      <w:lvlText w:val="%1)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7C2402AE">
      <w:start w:val="1"/>
      <w:numFmt w:val="lowerLetter"/>
      <w:lvlText w:val="%2."/>
      <w:lvlJc w:val="left"/>
      <w:pPr>
        <w:ind w:left="1542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2" w:tplc="38B8550E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6C880FD8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52C49898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6E68037A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A20AD2A6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C04EFE50">
      <w:numFmt w:val="bullet"/>
      <w:lvlText w:val="•"/>
      <w:lvlJc w:val="left"/>
      <w:pPr>
        <w:ind w:left="6553" w:hanging="360"/>
      </w:pPr>
      <w:rPr>
        <w:rFonts w:hint="default"/>
        <w:lang w:val="es-ES" w:eastAsia="en-US" w:bidi="ar-SA"/>
      </w:rPr>
    </w:lvl>
    <w:lvl w:ilvl="8" w:tplc="C936C152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48E4580"/>
    <w:multiLevelType w:val="hybridMultilevel"/>
    <w:tmpl w:val="24BC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85CDE"/>
    <w:multiLevelType w:val="hybridMultilevel"/>
    <w:tmpl w:val="DCBCA026"/>
    <w:lvl w:ilvl="0" w:tplc="46746758">
      <w:start w:val="1"/>
      <w:numFmt w:val="lowerLetter"/>
      <w:lvlText w:val="%1)"/>
      <w:lvlJc w:val="left"/>
      <w:pPr>
        <w:ind w:left="323" w:hanging="222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2638AF86">
      <w:numFmt w:val="bullet"/>
      <w:lvlText w:val="•"/>
      <w:lvlJc w:val="left"/>
      <w:pPr>
        <w:ind w:left="1194" w:hanging="222"/>
      </w:pPr>
      <w:rPr>
        <w:rFonts w:hint="default"/>
        <w:lang w:val="es-ES" w:eastAsia="en-US" w:bidi="ar-SA"/>
      </w:rPr>
    </w:lvl>
    <w:lvl w:ilvl="2" w:tplc="354E6D84">
      <w:numFmt w:val="bullet"/>
      <w:lvlText w:val="•"/>
      <w:lvlJc w:val="left"/>
      <w:pPr>
        <w:ind w:left="2068" w:hanging="222"/>
      </w:pPr>
      <w:rPr>
        <w:rFonts w:hint="default"/>
        <w:lang w:val="es-ES" w:eastAsia="en-US" w:bidi="ar-SA"/>
      </w:rPr>
    </w:lvl>
    <w:lvl w:ilvl="3" w:tplc="F3F0E516">
      <w:numFmt w:val="bullet"/>
      <w:lvlText w:val="•"/>
      <w:lvlJc w:val="left"/>
      <w:pPr>
        <w:ind w:left="2942" w:hanging="222"/>
      </w:pPr>
      <w:rPr>
        <w:rFonts w:hint="default"/>
        <w:lang w:val="es-ES" w:eastAsia="en-US" w:bidi="ar-SA"/>
      </w:rPr>
    </w:lvl>
    <w:lvl w:ilvl="4" w:tplc="FD462E30">
      <w:numFmt w:val="bullet"/>
      <w:lvlText w:val="•"/>
      <w:lvlJc w:val="left"/>
      <w:pPr>
        <w:ind w:left="3816" w:hanging="222"/>
      </w:pPr>
      <w:rPr>
        <w:rFonts w:hint="default"/>
        <w:lang w:val="es-ES" w:eastAsia="en-US" w:bidi="ar-SA"/>
      </w:rPr>
    </w:lvl>
    <w:lvl w:ilvl="5" w:tplc="6B18F3C4">
      <w:numFmt w:val="bullet"/>
      <w:lvlText w:val="•"/>
      <w:lvlJc w:val="left"/>
      <w:pPr>
        <w:ind w:left="4690" w:hanging="222"/>
      </w:pPr>
      <w:rPr>
        <w:rFonts w:hint="default"/>
        <w:lang w:val="es-ES" w:eastAsia="en-US" w:bidi="ar-SA"/>
      </w:rPr>
    </w:lvl>
    <w:lvl w:ilvl="6" w:tplc="2F74D3FE">
      <w:numFmt w:val="bullet"/>
      <w:lvlText w:val="•"/>
      <w:lvlJc w:val="left"/>
      <w:pPr>
        <w:ind w:left="5564" w:hanging="222"/>
      </w:pPr>
      <w:rPr>
        <w:rFonts w:hint="default"/>
        <w:lang w:val="es-ES" w:eastAsia="en-US" w:bidi="ar-SA"/>
      </w:rPr>
    </w:lvl>
    <w:lvl w:ilvl="7" w:tplc="6E1E0526">
      <w:numFmt w:val="bullet"/>
      <w:lvlText w:val="•"/>
      <w:lvlJc w:val="left"/>
      <w:pPr>
        <w:ind w:left="6438" w:hanging="222"/>
      </w:pPr>
      <w:rPr>
        <w:rFonts w:hint="default"/>
        <w:lang w:val="es-ES" w:eastAsia="en-US" w:bidi="ar-SA"/>
      </w:rPr>
    </w:lvl>
    <w:lvl w:ilvl="8" w:tplc="F4FA9DC0">
      <w:numFmt w:val="bullet"/>
      <w:lvlText w:val="•"/>
      <w:lvlJc w:val="left"/>
      <w:pPr>
        <w:ind w:left="7312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15674D69"/>
    <w:multiLevelType w:val="hybridMultilevel"/>
    <w:tmpl w:val="02468E24"/>
    <w:lvl w:ilvl="0" w:tplc="9DF8D19C">
      <w:start w:val="1"/>
      <w:numFmt w:val="lowerLetter"/>
      <w:lvlText w:val="%1)"/>
      <w:lvlJc w:val="left"/>
      <w:pPr>
        <w:ind w:left="323" w:hanging="222"/>
        <w:jc w:val="left"/>
      </w:pPr>
      <w:rPr>
        <w:rFonts w:hint="default"/>
        <w:w w:val="99"/>
        <w:sz w:val="24"/>
        <w:szCs w:val="24"/>
        <w:lang w:val="es-ES" w:eastAsia="en-US" w:bidi="ar-SA"/>
      </w:rPr>
    </w:lvl>
    <w:lvl w:ilvl="1" w:tplc="99F26F6C">
      <w:start w:val="1"/>
      <w:numFmt w:val="lowerLetter"/>
      <w:lvlText w:val="%2)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2" w:tplc="ED78A1CA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5B043E82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8050E6A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0D7468C6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05086968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1966C140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27D8F22A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7D4314F"/>
    <w:multiLevelType w:val="hybridMultilevel"/>
    <w:tmpl w:val="B3DEC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260C"/>
    <w:multiLevelType w:val="hybridMultilevel"/>
    <w:tmpl w:val="B68815AE"/>
    <w:lvl w:ilvl="0" w:tplc="16B6C5E8">
      <w:start w:val="1"/>
      <w:numFmt w:val="lowerLetter"/>
      <w:lvlText w:val="%1)"/>
      <w:lvlJc w:val="left"/>
      <w:pPr>
        <w:ind w:left="323" w:hanging="222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04800460">
      <w:numFmt w:val="bullet"/>
      <w:lvlText w:val="•"/>
      <w:lvlJc w:val="left"/>
      <w:pPr>
        <w:ind w:left="1194" w:hanging="222"/>
      </w:pPr>
      <w:rPr>
        <w:rFonts w:hint="default"/>
        <w:lang w:val="es-ES" w:eastAsia="en-US" w:bidi="ar-SA"/>
      </w:rPr>
    </w:lvl>
    <w:lvl w:ilvl="2" w:tplc="484260F4">
      <w:numFmt w:val="bullet"/>
      <w:lvlText w:val="•"/>
      <w:lvlJc w:val="left"/>
      <w:pPr>
        <w:ind w:left="2068" w:hanging="222"/>
      </w:pPr>
      <w:rPr>
        <w:rFonts w:hint="default"/>
        <w:lang w:val="es-ES" w:eastAsia="en-US" w:bidi="ar-SA"/>
      </w:rPr>
    </w:lvl>
    <w:lvl w:ilvl="3" w:tplc="FF644CC0">
      <w:numFmt w:val="bullet"/>
      <w:lvlText w:val="•"/>
      <w:lvlJc w:val="left"/>
      <w:pPr>
        <w:ind w:left="2942" w:hanging="222"/>
      </w:pPr>
      <w:rPr>
        <w:rFonts w:hint="default"/>
        <w:lang w:val="es-ES" w:eastAsia="en-US" w:bidi="ar-SA"/>
      </w:rPr>
    </w:lvl>
    <w:lvl w:ilvl="4" w:tplc="CC6252A2">
      <w:numFmt w:val="bullet"/>
      <w:lvlText w:val="•"/>
      <w:lvlJc w:val="left"/>
      <w:pPr>
        <w:ind w:left="3816" w:hanging="222"/>
      </w:pPr>
      <w:rPr>
        <w:rFonts w:hint="default"/>
        <w:lang w:val="es-ES" w:eastAsia="en-US" w:bidi="ar-SA"/>
      </w:rPr>
    </w:lvl>
    <w:lvl w:ilvl="5" w:tplc="697413A4">
      <w:numFmt w:val="bullet"/>
      <w:lvlText w:val="•"/>
      <w:lvlJc w:val="left"/>
      <w:pPr>
        <w:ind w:left="4690" w:hanging="222"/>
      </w:pPr>
      <w:rPr>
        <w:rFonts w:hint="default"/>
        <w:lang w:val="es-ES" w:eastAsia="en-US" w:bidi="ar-SA"/>
      </w:rPr>
    </w:lvl>
    <w:lvl w:ilvl="6" w:tplc="E460D024">
      <w:numFmt w:val="bullet"/>
      <w:lvlText w:val="•"/>
      <w:lvlJc w:val="left"/>
      <w:pPr>
        <w:ind w:left="5564" w:hanging="222"/>
      </w:pPr>
      <w:rPr>
        <w:rFonts w:hint="default"/>
        <w:lang w:val="es-ES" w:eastAsia="en-US" w:bidi="ar-SA"/>
      </w:rPr>
    </w:lvl>
    <w:lvl w:ilvl="7" w:tplc="88DA885C">
      <w:numFmt w:val="bullet"/>
      <w:lvlText w:val="•"/>
      <w:lvlJc w:val="left"/>
      <w:pPr>
        <w:ind w:left="6438" w:hanging="222"/>
      </w:pPr>
      <w:rPr>
        <w:rFonts w:hint="default"/>
        <w:lang w:val="es-ES" w:eastAsia="en-US" w:bidi="ar-SA"/>
      </w:rPr>
    </w:lvl>
    <w:lvl w:ilvl="8" w:tplc="B5086450">
      <w:numFmt w:val="bullet"/>
      <w:lvlText w:val="•"/>
      <w:lvlJc w:val="left"/>
      <w:pPr>
        <w:ind w:left="7312" w:hanging="222"/>
      </w:pPr>
      <w:rPr>
        <w:rFonts w:hint="default"/>
        <w:lang w:val="es-ES" w:eastAsia="en-US" w:bidi="ar-SA"/>
      </w:rPr>
    </w:lvl>
  </w:abstractNum>
  <w:abstractNum w:abstractNumId="9" w15:restartNumberingAfterBreak="0">
    <w:nsid w:val="3A53384D"/>
    <w:multiLevelType w:val="hybridMultilevel"/>
    <w:tmpl w:val="3274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C2A9F"/>
    <w:multiLevelType w:val="hybridMultilevel"/>
    <w:tmpl w:val="A25664D6"/>
    <w:lvl w:ilvl="0" w:tplc="6DF4A3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2A46"/>
    <w:multiLevelType w:val="hybridMultilevel"/>
    <w:tmpl w:val="F0A8E78C"/>
    <w:lvl w:ilvl="0" w:tplc="861A3A6A">
      <w:start w:val="1"/>
      <w:numFmt w:val="decimal"/>
      <w:lvlText w:val="%1."/>
      <w:lvlJc w:val="left"/>
      <w:pPr>
        <w:ind w:left="318" w:hanging="217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86CCC96A">
      <w:numFmt w:val="bullet"/>
      <w:lvlText w:val="•"/>
      <w:lvlJc w:val="left"/>
      <w:pPr>
        <w:ind w:left="1194" w:hanging="217"/>
      </w:pPr>
      <w:rPr>
        <w:rFonts w:hint="default"/>
        <w:lang w:val="es-ES" w:eastAsia="en-US" w:bidi="ar-SA"/>
      </w:rPr>
    </w:lvl>
    <w:lvl w:ilvl="2" w:tplc="99FE1234">
      <w:numFmt w:val="bullet"/>
      <w:lvlText w:val="•"/>
      <w:lvlJc w:val="left"/>
      <w:pPr>
        <w:ind w:left="2068" w:hanging="217"/>
      </w:pPr>
      <w:rPr>
        <w:rFonts w:hint="default"/>
        <w:lang w:val="es-ES" w:eastAsia="en-US" w:bidi="ar-SA"/>
      </w:rPr>
    </w:lvl>
    <w:lvl w:ilvl="3" w:tplc="99083874">
      <w:numFmt w:val="bullet"/>
      <w:lvlText w:val="•"/>
      <w:lvlJc w:val="left"/>
      <w:pPr>
        <w:ind w:left="2942" w:hanging="217"/>
      </w:pPr>
      <w:rPr>
        <w:rFonts w:hint="default"/>
        <w:lang w:val="es-ES" w:eastAsia="en-US" w:bidi="ar-SA"/>
      </w:rPr>
    </w:lvl>
    <w:lvl w:ilvl="4" w:tplc="2E5832B0">
      <w:numFmt w:val="bullet"/>
      <w:lvlText w:val="•"/>
      <w:lvlJc w:val="left"/>
      <w:pPr>
        <w:ind w:left="3816" w:hanging="217"/>
      </w:pPr>
      <w:rPr>
        <w:rFonts w:hint="default"/>
        <w:lang w:val="es-ES" w:eastAsia="en-US" w:bidi="ar-SA"/>
      </w:rPr>
    </w:lvl>
    <w:lvl w:ilvl="5" w:tplc="0FFE0A86">
      <w:numFmt w:val="bullet"/>
      <w:lvlText w:val="•"/>
      <w:lvlJc w:val="left"/>
      <w:pPr>
        <w:ind w:left="4690" w:hanging="217"/>
      </w:pPr>
      <w:rPr>
        <w:rFonts w:hint="default"/>
        <w:lang w:val="es-ES" w:eastAsia="en-US" w:bidi="ar-SA"/>
      </w:rPr>
    </w:lvl>
    <w:lvl w:ilvl="6" w:tplc="18FE2146">
      <w:numFmt w:val="bullet"/>
      <w:lvlText w:val="•"/>
      <w:lvlJc w:val="left"/>
      <w:pPr>
        <w:ind w:left="5564" w:hanging="217"/>
      </w:pPr>
      <w:rPr>
        <w:rFonts w:hint="default"/>
        <w:lang w:val="es-ES" w:eastAsia="en-US" w:bidi="ar-SA"/>
      </w:rPr>
    </w:lvl>
    <w:lvl w:ilvl="7" w:tplc="ED88346A">
      <w:numFmt w:val="bullet"/>
      <w:lvlText w:val="•"/>
      <w:lvlJc w:val="left"/>
      <w:pPr>
        <w:ind w:left="6438" w:hanging="217"/>
      </w:pPr>
      <w:rPr>
        <w:rFonts w:hint="default"/>
        <w:lang w:val="es-ES" w:eastAsia="en-US" w:bidi="ar-SA"/>
      </w:rPr>
    </w:lvl>
    <w:lvl w:ilvl="8" w:tplc="589848DC">
      <w:numFmt w:val="bullet"/>
      <w:lvlText w:val="•"/>
      <w:lvlJc w:val="left"/>
      <w:pPr>
        <w:ind w:left="7312" w:hanging="217"/>
      </w:pPr>
      <w:rPr>
        <w:rFonts w:hint="default"/>
        <w:lang w:val="es-ES" w:eastAsia="en-US" w:bidi="ar-SA"/>
      </w:rPr>
    </w:lvl>
  </w:abstractNum>
  <w:abstractNum w:abstractNumId="12" w15:restartNumberingAfterBreak="0">
    <w:nsid w:val="429756DB"/>
    <w:multiLevelType w:val="hybridMultilevel"/>
    <w:tmpl w:val="CA06E50E"/>
    <w:lvl w:ilvl="0" w:tplc="DBDAB9BE">
      <w:start w:val="1"/>
      <w:numFmt w:val="lowerLetter"/>
      <w:lvlText w:val="%1)"/>
      <w:lvlJc w:val="left"/>
      <w:pPr>
        <w:ind w:left="101" w:hanging="245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25F0C888">
      <w:numFmt w:val="bullet"/>
      <w:lvlText w:val="•"/>
      <w:lvlJc w:val="left"/>
      <w:pPr>
        <w:ind w:left="996" w:hanging="245"/>
      </w:pPr>
      <w:rPr>
        <w:rFonts w:hint="default"/>
        <w:lang w:val="es-ES" w:eastAsia="en-US" w:bidi="ar-SA"/>
      </w:rPr>
    </w:lvl>
    <w:lvl w:ilvl="2" w:tplc="82DCC924">
      <w:numFmt w:val="bullet"/>
      <w:lvlText w:val="•"/>
      <w:lvlJc w:val="left"/>
      <w:pPr>
        <w:ind w:left="1892" w:hanging="245"/>
      </w:pPr>
      <w:rPr>
        <w:rFonts w:hint="default"/>
        <w:lang w:val="es-ES" w:eastAsia="en-US" w:bidi="ar-SA"/>
      </w:rPr>
    </w:lvl>
    <w:lvl w:ilvl="3" w:tplc="0978B1E0">
      <w:numFmt w:val="bullet"/>
      <w:lvlText w:val="•"/>
      <w:lvlJc w:val="left"/>
      <w:pPr>
        <w:ind w:left="2788" w:hanging="245"/>
      </w:pPr>
      <w:rPr>
        <w:rFonts w:hint="default"/>
        <w:lang w:val="es-ES" w:eastAsia="en-US" w:bidi="ar-SA"/>
      </w:rPr>
    </w:lvl>
    <w:lvl w:ilvl="4" w:tplc="8AD2031C">
      <w:numFmt w:val="bullet"/>
      <w:lvlText w:val="•"/>
      <w:lvlJc w:val="left"/>
      <w:pPr>
        <w:ind w:left="3684" w:hanging="245"/>
      </w:pPr>
      <w:rPr>
        <w:rFonts w:hint="default"/>
        <w:lang w:val="es-ES" w:eastAsia="en-US" w:bidi="ar-SA"/>
      </w:rPr>
    </w:lvl>
    <w:lvl w:ilvl="5" w:tplc="99BAE2C2">
      <w:numFmt w:val="bullet"/>
      <w:lvlText w:val="•"/>
      <w:lvlJc w:val="left"/>
      <w:pPr>
        <w:ind w:left="4580" w:hanging="245"/>
      </w:pPr>
      <w:rPr>
        <w:rFonts w:hint="default"/>
        <w:lang w:val="es-ES" w:eastAsia="en-US" w:bidi="ar-SA"/>
      </w:rPr>
    </w:lvl>
    <w:lvl w:ilvl="6" w:tplc="B956BA8C">
      <w:numFmt w:val="bullet"/>
      <w:lvlText w:val="•"/>
      <w:lvlJc w:val="left"/>
      <w:pPr>
        <w:ind w:left="5476" w:hanging="245"/>
      </w:pPr>
      <w:rPr>
        <w:rFonts w:hint="default"/>
        <w:lang w:val="es-ES" w:eastAsia="en-US" w:bidi="ar-SA"/>
      </w:rPr>
    </w:lvl>
    <w:lvl w:ilvl="7" w:tplc="3FBA0D78">
      <w:numFmt w:val="bullet"/>
      <w:lvlText w:val="•"/>
      <w:lvlJc w:val="left"/>
      <w:pPr>
        <w:ind w:left="6372" w:hanging="245"/>
      </w:pPr>
      <w:rPr>
        <w:rFonts w:hint="default"/>
        <w:lang w:val="es-ES" w:eastAsia="en-US" w:bidi="ar-SA"/>
      </w:rPr>
    </w:lvl>
    <w:lvl w:ilvl="8" w:tplc="F4445B32">
      <w:numFmt w:val="bullet"/>
      <w:lvlText w:val="•"/>
      <w:lvlJc w:val="left"/>
      <w:pPr>
        <w:ind w:left="7268" w:hanging="245"/>
      </w:pPr>
      <w:rPr>
        <w:rFonts w:hint="default"/>
        <w:lang w:val="es-ES" w:eastAsia="en-US" w:bidi="ar-SA"/>
      </w:rPr>
    </w:lvl>
  </w:abstractNum>
  <w:abstractNum w:abstractNumId="13" w15:restartNumberingAfterBreak="0">
    <w:nsid w:val="45FB65E2"/>
    <w:multiLevelType w:val="hybridMultilevel"/>
    <w:tmpl w:val="B736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712FF"/>
    <w:multiLevelType w:val="hybridMultilevel"/>
    <w:tmpl w:val="DDF20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CA1"/>
    <w:multiLevelType w:val="hybridMultilevel"/>
    <w:tmpl w:val="53FEB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54B85"/>
    <w:multiLevelType w:val="hybridMultilevel"/>
    <w:tmpl w:val="D6307F42"/>
    <w:lvl w:ilvl="0" w:tplc="9CAC1C36">
      <w:start w:val="1"/>
      <w:numFmt w:val="lowerLetter"/>
      <w:lvlText w:val="%1)"/>
      <w:lvlJc w:val="left"/>
      <w:pPr>
        <w:ind w:left="323" w:hanging="222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8B9AF772">
      <w:numFmt w:val="bullet"/>
      <w:lvlText w:val="•"/>
      <w:lvlJc w:val="left"/>
      <w:pPr>
        <w:ind w:left="1194" w:hanging="222"/>
      </w:pPr>
      <w:rPr>
        <w:rFonts w:hint="default"/>
        <w:lang w:val="es-ES" w:eastAsia="en-US" w:bidi="ar-SA"/>
      </w:rPr>
    </w:lvl>
    <w:lvl w:ilvl="2" w:tplc="5470D33C">
      <w:numFmt w:val="bullet"/>
      <w:lvlText w:val="•"/>
      <w:lvlJc w:val="left"/>
      <w:pPr>
        <w:ind w:left="2068" w:hanging="222"/>
      </w:pPr>
      <w:rPr>
        <w:rFonts w:hint="default"/>
        <w:lang w:val="es-ES" w:eastAsia="en-US" w:bidi="ar-SA"/>
      </w:rPr>
    </w:lvl>
    <w:lvl w:ilvl="3" w:tplc="5F522DDC">
      <w:numFmt w:val="bullet"/>
      <w:lvlText w:val="•"/>
      <w:lvlJc w:val="left"/>
      <w:pPr>
        <w:ind w:left="2942" w:hanging="222"/>
      </w:pPr>
      <w:rPr>
        <w:rFonts w:hint="default"/>
        <w:lang w:val="es-ES" w:eastAsia="en-US" w:bidi="ar-SA"/>
      </w:rPr>
    </w:lvl>
    <w:lvl w:ilvl="4" w:tplc="DF4A9542">
      <w:numFmt w:val="bullet"/>
      <w:lvlText w:val="•"/>
      <w:lvlJc w:val="left"/>
      <w:pPr>
        <w:ind w:left="3816" w:hanging="222"/>
      </w:pPr>
      <w:rPr>
        <w:rFonts w:hint="default"/>
        <w:lang w:val="es-ES" w:eastAsia="en-US" w:bidi="ar-SA"/>
      </w:rPr>
    </w:lvl>
    <w:lvl w:ilvl="5" w:tplc="6BBEE3E2">
      <w:numFmt w:val="bullet"/>
      <w:lvlText w:val="•"/>
      <w:lvlJc w:val="left"/>
      <w:pPr>
        <w:ind w:left="4690" w:hanging="222"/>
      </w:pPr>
      <w:rPr>
        <w:rFonts w:hint="default"/>
        <w:lang w:val="es-ES" w:eastAsia="en-US" w:bidi="ar-SA"/>
      </w:rPr>
    </w:lvl>
    <w:lvl w:ilvl="6" w:tplc="D4C28C72">
      <w:numFmt w:val="bullet"/>
      <w:lvlText w:val="•"/>
      <w:lvlJc w:val="left"/>
      <w:pPr>
        <w:ind w:left="5564" w:hanging="222"/>
      </w:pPr>
      <w:rPr>
        <w:rFonts w:hint="default"/>
        <w:lang w:val="es-ES" w:eastAsia="en-US" w:bidi="ar-SA"/>
      </w:rPr>
    </w:lvl>
    <w:lvl w:ilvl="7" w:tplc="82128772">
      <w:numFmt w:val="bullet"/>
      <w:lvlText w:val="•"/>
      <w:lvlJc w:val="left"/>
      <w:pPr>
        <w:ind w:left="6438" w:hanging="222"/>
      </w:pPr>
      <w:rPr>
        <w:rFonts w:hint="default"/>
        <w:lang w:val="es-ES" w:eastAsia="en-US" w:bidi="ar-SA"/>
      </w:rPr>
    </w:lvl>
    <w:lvl w:ilvl="8" w:tplc="8CDC7354">
      <w:numFmt w:val="bullet"/>
      <w:lvlText w:val="•"/>
      <w:lvlJc w:val="left"/>
      <w:pPr>
        <w:ind w:left="7312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7D6A2D86"/>
    <w:multiLevelType w:val="hybridMultilevel"/>
    <w:tmpl w:val="6B4A4D64"/>
    <w:lvl w:ilvl="0" w:tplc="6DF4A3A8">
      <w:numFmt w:val="bullet"/>
      <w:lvlText w:val="-"/>
      <w:lvlJc w:val="left"/>
      <w:pPr>
        <w:ind w:left="218" w:hanging="117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0C0C9F82">
      <w:numFmt w:val="bullet"/>
      <w:lvlText w:val="•"/>
      <w:lvlJc w:val="left"/>
      <w:pPr>
        <w:ind w:left="1104" w:hanging="117"/>
      </w:pPr>
      <w:rPr>
        <w:rFonts w:hint="default"/>
        <w:lang w:val="es-ES" w:eastAsia="en-US" w:bidi="ar-SA"/>
      </w:rPr>
    </w:lvl>
    <w:lvl w:ilvl="2" w:tplc="E0A23648">
      <w:numFmt w:val="bullet"/>
      <w:lvlText w:val="•"/>
      <w:lvlJc w:val="left"/>
      <w:pPr>
        <w:ind w:left="1988" w:hanging="117"/>
      </w:pPr>
      <w:rPr>
        <w:rFonts w:hint="default"/>
        <w:lang w:val="es-ES" w:eastAsia="en-US" w:bidi="ar-SA"/>
      </w:rPr>
    </w:lvl>
    <w:lvl w:ilvl="3" w:tplc="E1C85A1A">
      <w:numFmt w:val="bullet"/>
      <w:lvlText w:val="•"/>
      <w:lvlJc w:val="left"/>
      <w:pPr>
        <w:ind w:left="2872" w:hanging="117"/>
      </w:pPr>
      <w:rPr>
        <w:rFonts w:hint="default"/>
        <w:lang w:val="es-ES" w:eastAsia="en-US" w:bidi="ar-SA"/>
      </w:rPr>
    </w:lvl>
    <w:lvl w:ilvl="4" w:tplc="0EFE7406">
      <w:numFmt w:val="bullet"/>
      <w:lvlText w:val="•"/>
      <w:lvlJc w:val="left"/>
      <w:pPr>
        <w:ind w:left="3756" w:hanging="117"/>
      </w:pPr>
      <w:rPr>
        <w:rFonts w:hint="default"/>
        <w:lang w:val="es-ES" w:eastAsia="en-US" w:bidi="ar-SA"/>
      </w:rPr>
    </w:lvl>
    <w:lvl w:ilvl="5" w:tplc="AD10D130">
      <w:numFmt w:val="bullet"/>
      <w:lvlText w:val="•"/>
      <w:lvlJc w:val="left"/>
      <w:pPr>
        <w:ind w:left="4640" w:hanging="117"/>
      </w:pPr>
      <w:rPr>
        <w:rFonts w:hint="default"/>
        <w:lang w:val="es-ES" w:eastAsia="en-US" w:bidi="ar-SA"/>
      </w:rPr>
    </w:lvl>
    <w:lvl w:ilvl="6" w:tplc="C9C6634C">
      <w:numFmt w:val="bullet"/>
      <w:lvlText w:val="•"/>
      <w:lvlJc w:val="left"/>
      <w:pPr>
        <w:ind w:left="5524" w:hanging="117"/>
      </w:pPr>
      <w:rPr>
        <w:rFonts w:hint="default"/>
        <w:lang w:val="es-ES" w:eastAsia="en-US" w:bidi="ar-SA"/>
      </w:rPr>
    </w:lvl>
    <w:lvl w:ilvl="7" w:tplc="DFDA4630">
      <w:numFmt w:val="bullet"/>
      <w:lvlText w:val="•"/>
      <w:lvlJc w:val="left"/>
      <w:pPr>
        <w:ind w:left="6408" w:hanging="117"/>
      </w:pPr>
      <w:rPr>
        <w:rFonts w:hint="default"/>
        <w:lang w:val="es-ES" w:eastAsia="en-US" w:bidi="ar-SA"/>
      </w:rPr>
    </w:lvl>
    <w:lvl w:ilvl="8" w:tplc="EEB64E4C">
      <w:numFmt w:val="bullet"/>
      <w:lvlText w:val="•"/>
      <w:lvlJc w:val="left"/>
      <w:pPr>
        <w:ind w:left="7292" w:hanging="117"/>
      </w:pPr>
      <w:rPr>
        <w:rFonts w:hint="default"/>
        <w:lang w:val="es-ES" w:eastAsia="en-US" w:bidi="ar-SA"/>
      </w:rPr>
    </w:lvl>
  </w:abstractNum>
  <w:abstractNum w:abstractNumId="18" w15:restartNumberingAfterBreak="0">
    <w:nsid w:val="7FD90B41"/>
    <w:multiLevelType w:val="hybridMultilevel"/>
    <w:tmpl w:val="FC4CB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16"/>
  </w:num>
  <w:num w:numId="6">
    <w:abstractNumId w:val="17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18"/>
  </w:num>
  <w:num w:numId="12">
    <w:abstractNumId w:val="2"/>
  </w:num>
  <w:num w:numId="13">
    <w:abstractNumId w:val="15"/>
  </w:num>
  <w:num w:numId="14">
    <w:abstractNumId w:val="9"/>
  </w:num>
  <w:num w:numId="15">
    <w:abstractNumId w:val="10"/>
  </w:num>
  <w:num w:numId="16">
    <w:abstractNumId w:val="7"/>
  </w:num>
  <w:num w:numId="17">
    <w:abstractNumId w:val="13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20"/>
    <w:rsid w:val="00060BC4"/>
    <w:rsid w:val="0022182B"/>
    <w:rsid w:val="00394395"/>
    <w:rsid w:val="00415A8E"/>
    <w:rsid w:val="004F414C"/>
    <w:rsid w:val="00503ADB"/>
    <w:rsid w:val="005B4C4F"/>
    <w:rsid w:val="00622520"/>
    <w:rsid w:val="00742C07"/>
    <w:rsid w:val="00774097"/>
    <w:rsid w:val="00794991"/>
    <w:rsid w:val="007A082C"/>
    <w:rsid w:val="008405EB"/>
    <w:rsid w:val="008F27EF"/>
    <w:rsid w:val="00906083"/>
    <w:rsid w:val="009431EF"/>
    <w:rsid w:val="00A260ED"/>
    <w:rsid w:val="00A944A4"/>
    <w:rsid w:val="00B707CF"/>
    <w:rsid w:val="00BB6A4D"/>
    <w:rsid w:val="00C01EAE"/>
    <w:rsid w:val="00C03BC4"/>
    <w:rsid w:val="00C51C2B"/>
    <w:rsid w:val="00DD320D"/>
    <w:rsid w:val="00D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B808"/>
  <w15:docId w15:val="{B233EE3B-8955-4723-836B-32BFDF58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6"/>
      <w:ind w:left="1015" w:right="1032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06083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0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083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60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60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608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0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083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98B2-BFF4-4C0C-89BB-5EB77B9D0A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3463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 invitado</cp:lastModifiedBy>
  <cp:revision>2</cp:revision>
  <cp:lastPrinted>2021-03-22T19:07:00Z</cp:lastPrinted>
  <dcterms:created xsi:type="dcterms:W3CDTF">2021-03-22T20:02:00Z</dcterms:created>
  <dcterms:modified xsi:type="dcterms:W3CDTF">2021-03-22T20:02:00Z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